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eastAsia="方正小标宋简体"/>
          <w:color w:val="auto"/>
          <w:kern w:val="0"/>
          <w:sz w:val="44"/>
          <w:szCs w:val="44"/>
          <w:highlight w:val="none"/>
          <w:u w:val="none" w:color="auto"/>
          <w:shd w:val="clear" w:color="auto" w:fill="auto"/>
        </w:rPr>
      </w:pPr>
      <w:bookmarkStart w:id="0" w:name="_GoBack"/>
      <w:bookmarkEnd w:id="0"/>
      <w:r>
        <w:rPr>
          <w:rFonts w:hint="eastAsia" w:ascii="Times New Roman" w:eastAsia="方正小标宋简体"/>
          <w:color w:val="auto"/>
          <w:kern w:val="0"/>
          <w:sz w:val="44"/>
          <w:szCs w:val="44"/>
          <w:highlight w:val="none"/>
          <w:u w:val="none" w:color="auto"/>
          <w:shd w:val="clear" w:color="auto" w:fill="auto"/>
          <w:lang w:val="en-US" w:eastAsia="zh-CN"/>
        </w:rPr>
        <w:t>金寨县人民</w:t>
      </w:r>
      <w:r>
        <w:rPr>
          <w:rFonts w:hint="default" w:ascii="Times New Roman" w:eastAsia="方正小标宋简体"/>
          <w:color w:val="auto"/>
          <w:kern w:val="0"/>
          <w:sz w:val="44"/>
          <w:szCs w:val="44"/>
          <w:highlight w:val="none"/>
          <w:u w:val="none" w:color="auto"/>
          <w:shd w:val="clear" w:color="auto" w:fill="auto"/>
        </w:rPr>
        <w:t>政府</w:t>
      </w:r>
      <w:r>
        <w:rPr>
          <w:rFonts w:hint="eastAsia" w:ascii="Times New Roman" w:eastAsia="方正小标宋简体"/>
          <w:color w:val="auto"/>
          <w:kern w:val="0"/>
          <w:sz w:val="44"/>
          <w:szCs w:val="44"/>
          <w:highlight w:val="none"/>
          <w:u w:val="none" w:color="auto"/>
          <w:shd w:val="clear" w:color="auto" w:fill="auto"/>
          <w:lang w:val="en-US" w:eastAsia="zh-CN"/>
        </w:rPr>
        <w:t>2023年</w:t>
      </w:r>
      <w:r>
        <w:rPr>
          <w:rFonts w:hint="default" w:ascii="Times New Roman" w:eastAsia="方正小标宋简体"/>
          <w:color w:val="auto"/>
          <w:kern w:val="0"/>
          <w:sz w:val="44"/>
          <w:szCs w:val="44"/>
          <w:highlight w:val="none"/>
          <w:u w:val="none" w:color="auto"/>
          <w:shd w:val="clear" w:color="auto" w:fill="auto"/>
        </w:rPr>
        <w:t>信息公开工作</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eastAsia="方正小标宋简体"/>
          <w:color w:val="auto"/>
          <w:kern w:val="0"/>
          <w:sz w:val="44"/>
          <w:szCs w:val="44"/>
          <w:highlight w:val="none"/>
          <w:u w:val="none" w:color="auto"/>
          <w:shd w:val="clear" w:color="auto" w:fill="auto"/>
        </w:rPr>
      </w:pPr>
      <w:r>
        <w:rPr>
          <w:rFonts w:hint="default" w:ascii="Times New Roman" w:eastAsia="方正小标宋简体"/>
          <w:color w:val="auto"/>
          <w:kern w:val="0"/>
          <w:sz w:val="44"/>
          <w:szCs w:val="44"/>
          <w:highlight w:val="none"/>
          <w:u w:val="none" w:color="auto"/>
          <w:shd w:val="clear" w:color="auto" w:fill="auto"/>
        </w:rPr>
        <w:t>年度报告</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eastAsia="方正小标宋简体"/>
          <w:color w:val="auto"/>
          <w:kern w:val="0"/>
          <w:sz w:val="44"/>
          <w:szCs w:val="44"/>
          <w:highlight w:val="none"/>
          <w:u w:val="none" w:color="auto"/>
          <w:shd w:val="clear" w:color="auto" w:fill="auto"/>
        </w:rPr>
      </w:pPr>
    </w:p>
    <w:p>
      <w:pPr>
        <w:keepNext w:val="0"/>
        <w:keepLines w:val="0"/>
        <w:pageBreakBefore w:val="0"/>
        <w:widowControl w:val="0"/>
        <w:kinsoku/>
        <w:wordWrap w:val="0"/>
        <w:overflowPunct/>
        <w:topLinePunct w:val="0"/>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rPr>
        <w:t>本报告依据《中华人民共和国政府信息公开条例》（国务院令第711号，以下简称（新《条例》)和《六安市政务公开办公室关于做好202</w:t>
      </w:r>
      <w:r>
        <w:rPr>
          <w:rFonts w:hint="eastAsia" w:ascii="仿宋_GB2312" w:hAnsi="仿宋_GB2312" w:eastAsia="仿宋_GB2312" w:cs="仿宋_GB2312"/>
          <w:sz w:val="32"/>
          <w:szCs w:val="32"/>
          <w:u w:val="none" w:color="auto"/>
          <w:shd w:val="clear" w:fill="auto"/>
          <w:lang w:val="en-US" w:eastAsia="zh-CN"/>
        </w:rPr>
        <w:t>3</w:t>
      </w:r>
      <w:r>
        <w:rPr>
          <w:rFonts w:hint="eastAsia" w:ascii="仿宋_GB2312" w:hAnsi="仿宋_GB2312" w:eastAsia="仿宋_GB2312" w:cs="仿宋_GB2312"/>
          <w:sz w:val="32"/>
          <w:szCs w:val="32"/>
          <w:u w:val="none" w:color="auto"/>
          <w:shd w:val="clear" w:fill="auto"/>
        </w:rPr>
        <w:t>年度政府信息公开年度报告编制和发布工作的通知》(六政务公开办〔202</w:t>
      </w:r>
      <w:r>
        <w:rPr>
          <w:rFonts w:hint="eastAsia" w:ascii="仿宋_GB2312" w:hAnsi="仿宋_GB2312" w:eastAsia="仿宋_GB2312" w:cs="仿宋_GB2312"/>
          <w:sz w:val="32"/>
          <w:szCs w:val="32"/>
          <w:u w:val="none" w:color="auto"/>
          <w:shd w:val="clear" w:fill="auto"/>
          <w:lang w:val="en-US" w:eastAsia="zh-CN"/>
        </w:rPr>
        <w:t>4</w:t>
      </w:r>
      <w:r>
        <w:rPr>
          <w:rFonts w:hint="eastAsia" w:ascii="仿宋_GB2312" w:hAnsi="仿宋_GB2312" w:eastAsia="仿宋_GB2312" w:cs="仿宋_GB2312"/>
          <w:sz w:val="32"/>
          <w:szCs w:val="32"/>
          <w:u w:val="none" w:color="auto"/>
          <w:shd w:val="clear" w:fill="auto"/>
        </w:rPr>
        <w:t>〕</w:t>
      </w:r>
      <w:r>
        <w:rPr>
          <w:rFonts w:hint="eastAsia" w:ascii="仿宋_GB2312" w:hAnsi="仿宋_GB2312" w:eastAsia="仿宋_GB2312" w:cs="仿宋_GB2312"/>
          <w:sz w:val="32"/>
          <w:szCs w:val="32"/>
          <w:u w:val="none" w:color="auto"/>
          <w:shd w:val="clear" w:fill="auto"/>
          <w:lang w:val="en-US" w:eastAsia="zh-CN"/>
        </w:rPr>
        <w:t>2</w:t>
      </w:r>
      <w:r>
        <w:rPr>
          <w:rFonts w:hint="eastAsia" w:ascii="仿宋_GB2312" w:hAnsi="仿宋_GB2312" w:eastAsia="仿宋_GB2312" w:cs="仿宋_GB2312"/>
          <w:sz w:val="32"/>
          <w:szCs w:val="32"/>
          <w:u w:val="none" w:color="auto"/>
          <w:shd w:val="clear" w:fill="auto"/>
        </w:rPr>
        <w:t>号)要求编制而成。报告主要包括：总体情况、行政机关主动公开政府信息情况、收到和处理政府信息公开申请情况、政府信息公开行政复议、行政诉讼情况、政府信息公开工作存在的主要问题及改进情况和其他需要报告的事项。本报告中使用数据统计期限为202</w:t>
      </w:r>
      <w:r>
        <w:rPr>
          <w:rFonts w:hint="eastAsia" w:ascii="仿宋_GB2312" w:hAnsi="仿宋_GB2312" w:eastAsia="仿宋_GB2312" w:cs="仿宋_GB2312"/>
          <w:sz w:val="32"/>
          <w:szCs w:val="32"/>
          <w:u w:val="none" w:color="auto"/>
          <w:shd w:val="clear" w:fill="auto"/>
          <w:lang w:val="en-US" w:eastAsia="zh-CN"/>
        </w:rPr>
        <w:t>3</w:t>
      </w:r>
      <w:r>
        <w:rPr>
          <w:rFonts w:hint="eastAsia" w:ascii="仿宋_GB2312" w:hAnsi="仿宋_GB2312" w:eastAsia="仿宋_GB2312" w:cs="仿宋_GB2312"/>
          <w:sz w:val="32"/>
          <w:szCs w:val="32"/>
          <w:u w:val="none" w:color="auto"/>
          <w:shd w:val="clear" w:fill="auto"/>
        </w:rPr>
        <w:t>年1月1日至12月31日，报告的电子版可在金寨县信息公开（http://www.ahjinzhai.gov.cn/public/index.html）下载。如对本报告有任何疑问，请与金寨县人民政府办公室政务公开办联系（地址：金寨县行政中心828室，电话：0564--7356132，邮编：237300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黑体" w:hAnsi="黑体" w:eastAsia="黑体" w:cs="黑体"/>
          <w:color w:val="auto"/>
          <w:kern w:val="0"/>
          <w:sz w:val="32"/>
          <w:szCs w:val="32"/>
          <w:highlight w:val="none"/>
          <w:u w:val="none" w:color="auto"/>
          <w:shd w:val="clear" w:color="auto" w:fill="auto"/>
          <w:lang w:val="en-US" w:eastAsia="zh-CN"/>
        </w:rPr>
      </w:pPr>
      <w:r>
        <w:rPr>
          <w:rFonts w:hint="eastAsia" w:ascii="黑体" w:hAnsi="黑体" w:eastAsia="黑体" w:cs="黑体"/>
          <w:color w:val="auto"/>
          <w:kern w:val="0"/>
          <w:sz w:val="32"/>
          <w:szCs w:val="32"/>
          <w:highlight w:val="none"/>
          <w:u w:val="none" w:color="auto"/>
          <w:shd w:val="clear" w:color="auto" w:fill="auto"/>
          <w:lang w:val="en-US" w:eastAsia="zh-CN"/>
        </w:rPr>
        <w:t>一、总体描述</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eastAsia" w:ascii="楷体_GB2312" w:hAnsi="楷体_GB2312" w:eastAsia="楷体_GB2312" w:cs="楷体_GB2312"/>
          <w:b/>
          <w:bCs/>
          <w:sz w:val="32"/>
          <w:szCs w:val="32"/>
          <w:u w:val="none" w:color="auto"/>
          <w:shd w:val="clear" w:fill="auto"/>
          <w:lang w:val="en-US" w:eastAsia="zh-CN"/>
        </w:rPr>
      </w:pPr>
      <w:r>
        <w:rPr>
          <w:rFonts w:hint="eastAsia" w:ascii="楷体_GB2312" w:hAnsi="楷体_GB2312" w:eastAsia="楷体_GB2312" w:cs="楷体_GB2312"/>
          <w:b/>
          <w:bCs/>
          <w:sz w:val="32"/>
          <w:szCs w:val="32"/>
          <w:u w:val="none" w:color="auto"/>
          <w:shd w:val="clear" w:fill="auto"/>
          <w:lang w:val="en-US" w:eastAsia="zh-CN"/>
        </w:rPr>
        <w:t>（一）主动公开情况</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eastAsia" w:ascii="仿宋_GB2312" w:hAnsi="仿宋_GB2312" w:eastAsia="仿宋_GB2312" w:cs="仿宋_GB2312"/>
          <w:sz w:val="32"/>
          <w:szCs w:val="32"/>
          <w:u w:val="none" w:color="auto"/>
          <w:shd w:val="clear" w:fill="auto"/>
          <w:lang w:val="en-US" w:eastAsia="zh-CN"/>
        </w:rPr>
      </w:pPr>
      <w:r>
        <w:rPr>
          <w:rFonts w:hint="eastAsia" w:ascii="仿宋_GB2312" w:hAnsi="仿宋_GB2312" w:eastAsia="仿宋_GB2312" w:cs="仿宋_GB2312"/>
          <w:b/>
          <w:bCs/>
          <w:sz w:val="32"/>
          <w:szCs w:val="32"/>
          <w:u w:val="none" w:color="auto"/>
          <w:shd w:val="clear" w:fill="auto"/>
        </w:rPr>
        <w:t>加强涉企信息公开，助力经济平稳健康发展</w:t>
      </w:r>
      <w:r>
        <w:rPr>
          <w:rFonts w:hint="eastAsia" w:ascii="仿宋_GB2312" w:hAnsi="仿宋_GB2312" w:eastAsia="仿宋_GB2312" w:cs="仿宋_GB2312"/>
          <w:b/>
          <w:bCs/>
          <w:sz w:val="32"/>
          <w:szCs w:val="32"/>
          <w:u w:val="none" w:color="auto"/>
          <w:shd w:val="clear" w:fill="auto"/>
          <w:lang w:eastAsia="zh-CN"/>
        </w:rPr>
        <w:t>。</w:t>
      </w:r>
      <w:r>
        <w:rPr>
          <w:rFonts w:hint="eastAsia" w:ascii="仿宋_GB2312" w:hAnsi="仿宋_GB2312" w:eastAsia="仿宋_GB2312" w:cs="仿宋_GB2312"/>
          <w:sz w:val="32"/>
          <w:szCs w:val="32"/>
          <w:u w:val="none" w:color="auto"/>
          <w:shd w:val="clear" w:fill="auto"/>
          <w:lang w:val="en-US" w:eastAsia="zh-CN"/>
        </w:rPr>
        <w:t>通过</w:t>
      </w:r>
      <w:r>
        <w:rPr>
          <w:rFonts w:hint="eastAsia" w:ascii="仿宋_GB2312" w:hAnsi="仿宋_GB2312" w:eastAsia="仿宋_GB2312" w:cs="仿宋_GB2312"/>
          <w:sz w:val="32"/>
          <w:szCs w:val="32"/>
          <w:u w:val="none" w:color="auto"/>
          <w:shd w:val="clear" w:fill="auto"/>
          <w:lang w:eastAsia="zh-CN"/>
        </w:rPr>
        <w:t>“营商环境”专题，</w:t>
      </w:r>
      <w:r>
        <w:rPr>
          <w:rFonts w:hint="eastAsia" w:ascii="仿宋_GB2312" w:hAnsi="仿宋_GB2312" w:eastAsia="仿宋_GB2312" w:cs="仿宋_GB2312"/>
          <w:sz w:val="32"/>
          <w:szCs w:val="32"/>
          <w:u w:val="none" w:color="auto"/>
          <w:shd w:val="clear" w:fill="auto"/>
          <w:lang w:val="en-US" w:eastAsia="zh-CN"/>
        </w:rPr>
        <w:t>动态更新</w:t>
      </w:r>
      <w:r>
        <w:rPr>
          <w:rFonts w:hint="eastAsia" w:ascii="仿宋_GB2312" w:hAnsi="仿宋_GB2312" w:eastAsia="仿宋_GB2312" w:cs="仿宋_GB2312"/>
          <w:sz w:val="32"/>
          <w:szCs w:val="32"/>
          <w:u w:val="none" w:color="auto"/>
          <w:shd w:val="clear" w:fill="auto"/>
          <w:lang w:eastAsia="zh-CN"/>
        </w:rPr>
        <w:t>涉企政策举措，</w:t>
      </w:r>
      <w:r>
        <w:rPr>
          <w:rFonts w:hint="eastAsia" w:ascii="仿宋_GB2312" w:hAnsi="仿宋_GB2312" w:eastAsia="仿宋_GB2312" w:cs="仿宋_GB2312"/>
          <w:sz w:val="32"/>
          <w:szCs w:val="32"/>
          <w:u w:val="none" w:color="auto"/>
          <w:shd w:val="clear" w:fill="auto"/>
          <w:lang w:val="en-US" w:eastAsia="zh-CN"/>
        </w:rPr>
        <w:t>编发《为企业办实事服务清单》212项，按月发布减税降费落实情况，惠及3064家经营主体。开设“促消费升级”专栏，加大文旅、名宿等服务消费信息公开力度。支持高标准市场体系建设，全年1005个公共资源进场交易项目全过程信息公开，激发投资活力。</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eastAsia" w:ascii="仿宋_GB2312" w:hAnsi="仿宋_GB2312" w:eastAsia="仿宋_GB2312" w:cs="仿宋_GB2312"/>
          <w:sz w:val="32"/>
          <w:szCs w:val="32"/>
          <w:u w:val="none" w:color="auto"/>
          <w:shd w:val="clear" w:fill="auto"/>
          <w:lang w:val="en-US" w:eastAsia="zh-CN"/>
        </w:rPr>
      </w:pPr>
      <w:r>
        <w:rPr>
          <w:rFonts w:hint="eastAsia" w:ascii="仿宋_GB2312" w:hAnsi="仿宋_GB2312" w:eastAsia="仿宋_GB2312" w:cs="仿宋_GB2312"/>
          <w:b/>
          <w:bCs/>
          <w:sz w:val="32"/>
          <w:szCs w:val="32"/>
          <w:u w:val="none" w:color="auto"/>
          <w:shd w:val="clear" w:fill="auto"/>
        </w:rPr>
        <w:t>加强重点领域公开，推进民生保障持续改善</w:t>
      </w:r>
      <w:r>
        <w:rPr>
          <w:rFonts w:hint="eastAsia" w:ascii="仿宋_GB2312" w:hAnsi="仿宋_GB2312" w:eastAsia="仿宋_GB2312" w:cs="仿宋_GB2312"/>
          <w:b/>
          <w:bCs/>
          <w:sz w:val="32"/>
          <w:szCs w:val="32"/>
          <w:u w:val="none" w:color="auto"/>
          <w:shd w:val="clear" w:fill="auto"/>
          <w:lang w:eastAsia="zh-CN"/>
        </w:rPr>
        <w:t>。</w:t>
      </w:r>
      <w:r>
        <w:rPr>
          <w:rFonts w:hint="eastAsia" w:ascii="仿宋_GB2312" w:hAnsi="仿宋_GB2312" w:eastAsia="仿宋_GB2312" w:cs="仿宋_GB2312"/>
          <w:sz w:val="32"/>
          <w:szCs w:val="32"/>
          <w:u w:val="none" w:color="auto"/>
          <w:shd w:val="clear" w:fill="auto"/>
          <w:lang w:eastAsia="zh-CN"/>
        </w:rPr>
        <w:t>及时公开促进就业创业、就业供求信息，</w:t>
      </w:r>
      <w:r>
        <w:rPr>
          <w:rFonts w:hint="eastAsia" w:ascii="仿宋_GB2312" w:hAnsi="仿宋_GB2312" w:eastAsia="仿宋_GB2312" w:cs="仿宋_GB2312"/>
          <w:sz w:val="32"/>
          <w:szCs w:val="32"/>
          <w:u w:val="none" w:color="auto"/>
          <w:shd w:val="clear" w:fill="auto"/>
          <w:lang w:val="en-US" w:eastAsia="zh-CN"/>
        </w:rPr>
        <w:t>运用“金凤还巢综合服务信息平台”定向推送相关群体，发布岗位2600个，受理返乡人员政策咨询2万余人次，公开人才补贴21批次2531万元，惠及</w:t>
      </w:r>
      <w:r>
        <w:rPr>
          <w:rFonts w:hint="eastAsia" w:ascii="仿宋_GB2312" w:hAnsi="仿宋_GB2312" w:eastAsia="仿宋_GB2312" w:cs="仿宋_GB2312"/>
          <w:sz w:val="32"/>
          <w:szCs w:val="32"/>
          <w:u w:val="none" w:color="auto"/>
          <w:shd w:val="clear" w:fill="auto"/>
          <w:lang w:eastAsia="zh-CN"/>
        </w:rPr>
        <w:t>高校毕业生、退役军人等10类重点群体。加大实施10项暖民心行动信息公开和宣传推广力度，</w:t>
      </w:r>
      <w:r>
        <w:rPr>
          <w:rFonts w:hint="eastAsia" w:ascii="仿宋_GB2312" w:hAnsi="仿宋_GB2312" w:eastAsia="仿宋_GB2312" w:cs="仿宋_GB2312"/>
          <w:sz w:val="32"/>
          <w:szCs w:val="32"/>
          <w:u w:val="none" w:color="auto"/>
          <w:shd w:val="clear" w:fill="auto"/>
          <w:lang w:val="en-US" w:eastAsia="zh-CN"/>
        </w:rPr>
        <w:t>在全市率先完成卫生、交通、教育等6个领域84家公共企事业单位信息公开。</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eastAsia" w:ascii="仿宋_GB2312" w:hAnsi="仿宋_GB2312" w:eastAsia="仿宋_GB2312" w:cs="仿宋_GB2312"/>
          <w:sz w:val="32"/>
          <w:szCs w:val="32"/>
          <w:u w:val="none" w:color="auto"/>
          <w:shd w:val="clear" w:fill="auto"/>
        </w:rPr>
      </w:pPr>
      <w:r>
        <w:rPr>
          <w:rFonts w:hint="eastAsia" w:ascii="仿宋_GB2312" w:hAnsi="仿宋_GB2312" w:eastAsia="仿宋_GB2312" w:cs="仿宋_GB2312"/>
          <w:b/>
          <w:bCs/>
          <w:sz w:val="32"/>
          <w:szCs w:val="32"/>
          <w:u w:val="none" w:color="auto"/>
          <w:shd w:val="clear" w:fill="auto"/>
        </w:rPr>
        <w:t>加强政策</w:t>
      </w:r>
      <w:r>
        <w:rPr>
          <w:rFonts w:hint="eastAsia" w:ascii="仿宋_GB2312" w:hAnsi="仿宋_GB2312" w:eastAsia="仿宋_GB2312" w:cs="仿宋_GB2312"/>
          <w:b/>
          <w:bCs/>
          <w:sz w:val="32"/>
          <w:szCs w:val="32"/>
          <w:u w:val="none" w:color="auto"/>
          <w:shd w:val="clear" w:fill="auto"/>
          <w:lang w:val="en-US" w:eastAsia="zh-CN"/>
        </w:rPr>
        <w:t>文件管理</w:t>
      </w:r>
      <w:r>
        <w:rPr>
          <w:rFonts w:hint="eastAsia" w:ascii="仿宋_GB2312" w:hAnsi="仿宋_GB2312" w:eastAsia="仿宋_GB2312" w:cs="仿宋_GB2312"/>
          <w:b/>
          <w:bCs/>
          <w:sz w:val="32"/>
          <w:szCs w:val="32"/>
          <w:u w:val="none" w:color="auto"/>
          <w:shd w:val="clear" w:fill="auto"/>
        </w:rPr>
        <w:t>，提高政策解读发布质效</w:t>
      </w:r>
      <w:r>
        <w:rPr>
          <w:rFonts w:hint="eastAsia" w:ascii="仿宋_GB2312" w:hAnsi="仿宋_GB2312" w:eastAsia="仿宋_GB2312" w:cs="仿宋_GB2312"/>
          <w:b/>
          <w:bCs/>
          <w:sz w:val="32"/>
          <w:szCs w:val="32"/>
          <w:u w:val="none" w:color="auto"/>
          <w:shd w:val="clear" w:fill="auto"/>
          <w:lang w:eastAsia="zh-CN"/>
        </w:rPr>
        <w:t>。</w:t>
      </w:r>
      <w:r>
        <w:rPr>
          <w:rFonts w:hint="eastAsia" w:ascii="仿宋_GB2312" w:hAnsi="仿宋_GB2312" w:eastAsia="仿宋_GB2312" w:cs="仿宋_GB2312"/>
          <w:sz w:val="32"/>
          <w:szCs w:val="32"/>
          <w:u w:val="none" w:color="auto"/>
          <w:shd w:val="clear" w:fill="auto"/>
          <w:lang w:val="en-US" w:eastAsia="zh-CN"/>
        </w:rPr>
        <w:t>规范使用</w:t>
      </w:r>
      <w:r>
        <w:rPr>
          <w:rFonts w:hint="eastAsia" w:ascii="仿宋_GB2312" w:hAnsi="仿宋_GB2312" w:eastAsia="仿宋_GB2312" w:cs="仿宋_GB2312"/>
          <w:sz w:val="32"/>
          <w:szCs w:val="32"/>
          <w:u w:val="none" w:color="auto"/>
          <w:shd w:val="clear" w:fill="auto"/>
          <w:lang w:eastAsia="zh-CN"/>
        </w:rPr>
        <w:t>意见征集平台，</w:t>
      </w:r>
      <w:r>
        <w:rPr>
          <w:rFonts w:hint="eastAsia" w:ascii="仿宋_GB2312" w:hAnsi="仿宋_GB2312" w:eastAsia="仿宋_GB2312" w:cs="仿宋_GB2312"/>
          <w:sz w:val="32"/>
          <w:szCs w:val="32"/>
          <w:u w:val="none" w:color="auto"/>
          <w:shd w:val="clear" w:fill="auto"/>
          <w:lang w:val="en-US" w:eastAsia="zh-CN"/>
        </w:rPr>
        <w:t>面</w:t>
      </w:r>
      <w:r>
        <w:rPr>
          <w:rFonts w:hint="eastAsia" w:ascii="仿宋_GB2312" w:hAnsi="仿宋_GB2312" w:eastAsia="仿宋_GB2312" w:cs="仿宋_GB2312"/>
          <w:sz w:val="32"/>
          <w:szCs w:val="32"/>
          <w:u w:val="none" w:color="auto"/>
          <w:shd w:val="clear" w:fill="auto"/>
          <w:lang w:eastAsia="zh-CN"/>
        </w:rPr>
        <w:t>向社会公开征集</w:t>
      </w:r>
      <w:r>
        <w:rPr>
          <w:rFonts w:hint="eastAsia" w:ascii="仿宋_GB2312" w:hAnsi="仿宋_GB2312" w:eastAsia="仿宋_GB2312" w:cs="仿宋_GB2312"/>
          <w:sz w:val="32"/>
          <w:szCs w:val="32"/>
          <w:u w:val="none" w:color="auto"/>
          <w:shd w:val="clear" w:fill="auto"/>
          <w:lang w:val="en-US" w:eastAsia="zh-CN"/>
        </w:rPr>
        <w:t>56件政策文件</w:t>
      </w:r>
      <w:r>
        <w:rPr>
          <w:rFonts w:hint="eastAsia" w:ascii="仿宋_GB2312" w:hAnsi="仿宋_GB2312" w:eastAsia="仿宋_GB2312" w:cs="仿宋_GB2312"/>
          <w:sz w:val="32"/>
          <w:szCs w:val="32"/>
          <w:u w:val="none" w:color="auto"/>
          <w:shd w:val="clear" w:fill="auto"/>
          <w:lang w:eastAsia="zh-CN"/>
        </w:rPr>
        <w:t>意见，</w:t>
      </w:r>
      <w:r>
        <w:rPr>
          <w:rFonts w:hint="eastAsia" w:ascii="仿宋_GB2312" w:hAnsi="仿宋_GB2312" w:eastAsia="仿宋_GB2312" w:cs="仿宋_GB2312"/>
          <w:sz w:val="32"/>
          <w:szCs w:val="32"/>
          <w:u w:val="none" w:color="auto"/>
          <w:shd w:val="clear" w:fill="auto"/>
          <w:lang w:val="en-US" w:eastAsia="zh-CN"/>
        </w:rPr>
        <w:t>公开企业、公众列席</w:t>
      </w:r>
      <w:r>
        <w:rPr>
          <w:rFonts w:hint="eastAsia" w:ascii="仿宋_GB2312" w:hAnsi="仿宋_GB2312" w:eastAsia="仿宋_GB2312" w:cs="仿宋_GB2312"/>
          <w:sz w:val="32"/>
          <w:szCs w:val="32"/>
          <w:u w:val="none" w:color="auto"/>
          <w:shd w:val="clear" w:fill="auto"/>
          <w:lang w:eastAsia="zh-CN"/>
        </w:rPr>
        <w:t>常务会议</w:t>
      </w:r>
      <w:r>
        <w:rPr>
          <w:rFonts w:hint="eastAsia" w:ascii="仿宋_GB2312" w:hAnsi="仿宋_GB2312" w:eastAsia="仿宋_GB2312" w:cs="仿宋_GB2312"/>
          <w:sz w:val="32"/>
          <w:szCs w:val="32"/>
          <w:u w:val="none" w:color="auto"/>
          <w:shd w:val="clear" w:fill="auto"/>
          <w:lang w:val="en-US" w:eastAsia="zh-CN"/>
        </w:rPr>
        <w:t>5</w:t>
      </w:r>
      <w:r>
        <w:rPr>
          <w:rFonts w:hint="eastAsia" w:ascii="仿宋_GB2312" w:hAnsi="仿宋_GB2312" w:eastAsia="仿宋_GB2312" w:cs="仿宋_GB2312"/>
          <w:sz w:val="32"/>
          <w:szCs w:val="32"/>
          <w:u w:val="none" w:color="auto"/>
          <w:shd w:val="clear" w:fill="auto"/>
          <w:lang w:eastAsia="zh-CN"/>
        </w:rPr>
        <w:t>次</w:t>
      </w:r>
      <w:r>
        <w:rPr>
          <w:rFonts w:hint="eastAsia" w:ascii="仿宋_GB2312" w:hAnsi="仿宋_GB2312" w:eastAsia="仿宋_GB2312" w:cs="仿宋_GB2312"/>
          <w:sz w:val="32"/>
          <w:szCs w:val="32"/>
          <w:u w:val="none" w:color="auto"/>
          <w:shd w:val="clear" w:fill="auto"/>
          <w:lang w:val="en-US" w:eastAsia="zh-CN"/>
        </w:rPr>
        <w:t>。建成</w:t>
      </w:r>
      <w:r>
        <w:rPr>
          <w:rFonts w:hint="eastAsia" w:ascii="仿宋_GB2312" w:hAnsi="仿宋_GB2312" w:eastAsia="仿宋_GB2312" w:cs="仿宋_GB2312"/>
          <w:sz w:val="32"/>
          <w:szCs w:val="32"/>
          <w:u w:val="none" w:color="auto"/>
          <w:shd w:val="clear" w:fill="auto"/>
        </w:rPr>
        <w:t>集成式政策解读</w:t>
      </w:r>
      <w:r>
        <w:rPr>
          <w:rFonts w:hint="eastAsia" w:ascii="仿宋_GB2312" w:hAnsi="仿宋_GB2312" w:eastAsia="仿宋_GB2312" w:cs="仿宋_GB2312"/>
          <w:sz w:val="32"/>
          <w:szCs w:val="32"/>
          <w:u w:val="none" w:color="auto"/>
          <w:shd w:val="clear" w:fill="auto"/>
          <w:lang w:val="en-US" w:eastAsia="zh-CN"/>
        </w:rPr>
        <w:t>平台</w:t>
      </w:r>
      <w:r>
        <w:rPr>
          <w:rFonts w:hint="eastAsia" w:ascii="仿宋_GB2312" w:hAnsi="仿宋_GB2312" w:eastAsia="仿宋_GB2312" w:cs="仿宋_GB2312"/>
          <w:sz w:val="32"/>
          <w:szCs w:val="32"/>
          <w:u w:val="none" w:color="auto"/>
          <w:shd w:val="clear" w:fill="auto"/>
        </w:rPr>
        <w:t>，</w:t>
      </w:r>
      <w:r>
        <w:rPr>
          <w:rFonts w:hint="eastAsia" w:ascii="仿宋_GB2312" w:hAnsi="仿宋_GB2312" w:eastAsia="仿宋_GB2312" w:cs="仿宋_GB2312"/>
          <w:sz w:val="32"/>
          <w:szCs w:val="32"/>
          <w:u w:val="none" w:color="auto"/>
          <w:shd w:val="clear" w:fill="auto"/>
          <w:lang w:val="en-US" w:eastAsia="zh-CN"/>
        </w:rPr>
        <w:t>新制发解读247件，视频、图片解读等比例达到76%，运用情景漫画、短视频等形象化解读方式</w:t>
      </w:r>
      <w:r>
        <w:rPr>
          <w:rFonts w:hint="eastAsia" w:ascii="仿宋_GB2312" w:hAnsi="仿宋_GB2312" w:eastAsia="仿宋_GB2312" w:cs="仿宋_GB2312"/>
          <w:sz w:val="32"/>
          <w:szCs w:val="32"/>
          <w:u w:val="none" w:color="auto"/>
          <w:shd w:val="clear" w:fill="auto"/>
        </w:rPr>
        <w:t>，让群众看得到、听得懂、易接受。</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eastAsia" w:ascii="仿宋_GB2312" w:hAnsi="仿宋_GB2312" w:eastAsia="仿宋_GB2312" w:cs="仿宋_GB2312"/>
          <w:sz w:val="32"/>
          <w:szCs w:val="32"/>
          <w:u w:val="none" w:color="auto"/>
          <w:shd w:val="clear" w:fill="auto"/>
          <w:lang w:val="en-US" w:eastAsia="zh-CN"/>
        </w:rPr>
      </w:pPr>
      <w:r>
        <w:rPr>
          <w:rFonts w:hint="eastAsia" w:ascii="仿宋_GB2312" w:hAnsi="仿宋_GB2312" w:eastAsia="仿宋_GB2312" w:cs="仿宋_GB2312"/>
          <w:b/>
          <w:bCs/>
          <w:sz w:val="32"/>
          <w:szCs w:val="32"/>
          <w:u w:val="none" w:color="auto"/>
          <w:shd w:val="clear" w:fill="auto"/>
        </w:rPr>
        <w:t>加强成果巩固提升，总结基层“两化”经验做法</w:t>
      </w:r>
      <w:r>
        <w:rPr>
          <w:rFonts w:hint="eastAsia" w:ascii="仿宋_GB2312" w:hAnsi="仿宋_GB2312" w:eastAsia="仿宋_GB2312" w:cs="仿宋_GB2312"/>
          <w:b/>
          <w:bCs/>
          <w:sz w:val="32"/>
          <w:szCs w:val="32"/>
          <w:u w:val="none" w:color="auto"/>
          <w:shd w:val="clear" w:fill="auto"/>
          <w:lang w:eastAsia="zh-CN"/>
        </w:rPr>
        <w:t>。</w:t>
      </w:r>
      <w:r>
        <w:rPr>
          <w:rFonts w:hint="eastAsia" w:ascii="仿宋_GB2312" w:hAnsi="仿宋_GB2312" w:eastAsia="仿宋_GB2312" w:cs="仿宋_GB2312"/>
          <w:sz w:val="32"/>
          <w:szCs w:val="32"/>
          <w:u w:val="none" w:color="auto"/>
          <w:shd w:val="clear" w:fill="auto"/>
          <w:lang w:eastAsia="zh-CN"/>
        </w:rPr>
        <w:t>保持主动公开和“两化”领域同步更新，</w:t>
      </w:r>
      <w:r>
        <w:rPr>
          <w:rFonts w:hint="eastAsia" w:ascii="仿宋_GB2312" w:hAnsi="仿宋_GB2312" w:eastAsia="仿宋_GB2312" w:cs="仿宋_GB2312"/>
          <w:sz w:val="32"/>
          <w:szCs w:val="32"/>
          <w:u w:val="none" w:color="auto"/>
          <w:shd w:val="clear" w:fill="auto"/>
          <w:lang w:val="en-US" w:eastAsia="zh-CN"/>
        </w:rPr>
        <w:t>梳理</w:t>
      </w:r>
      <w:r>
        <w:rPr>
          <w:rFonts w:hint="eastAsia" w:ascii="仿宋_GB2312" w:hAnsi="仿宋_GB2312" w:eastAsia="仿宋_GB2312" w:cs="仿宋_GB2312"/>
          <w:sz w:val="32"/>
          <w:szCs w:val="32"/>
          <w:u w:val="none" w:color="auto"/>
          <w:shd w:val="clear" w:fill="auto"/>
          <w:lang w:eastAsia="zh-CN"/>
        </w:rPr>
        <w:t>办事指南130余项，</w:t>
      </w:r>
      <w:r>
        <w:rPr>
          <w:rFonts w:hint="eastAsia" w:ascii="仿宋_GB2312" w:hAnsi="仿宋_GB2312" w:eastAsia="仿宋_GB2312" w:cs="仿宋_GB2312"/>
          <w:sz w:val="32"/>
          <w:szCs w:val="32"/>
          <w:u w:val="none" w:color="auto"/>
          <w:shd w:val="clear" w:fill="auto"/>
          <w:lang w:val="en-US" w:eastAsia="zh-CN"/>
        </w:rPr>
        <w:t>改善</w:t>
      </w:r>
      <w:r>
        <w:rPr>
          <w:rFonts w:hint="eastAsia" w:ascii="仿宋_GB2312" w:hAnsi="仿宋_GB2312" w:eastAsia="仿宋_GB2312" w:cs="仿宋_GB2312"/>
          <w:sz w:val="32"/>
          <w:szCs w:val="32"/>
          <w:u w:val="none" w:color="auto"/>
          <w:shd w:val="clear" w:fill="auto"/>
          <w:lang w:eastAsia="zh-CN"/>
        </w:rPr>
        <w:t>服务效能。一以贯之抓实村（居）务公开，制度化推动各村公开栏按月更新，</w:t>
      </w:r>
      <w:r>
        <w:rPr>
          <w:rFonts w:hint="eastAsia" w:ascii="仿宋_GB2312" w:hAnsi="仿宋_GB2312" w:eastAsia="仿宋_GB2312" w:cs="仿宋_GB2312"/>
          <w:sz w:val="32"/>
          <w:szCs w:val="32"/>
          <w:u w:val="none" w:color="auto"/>
          <w:shd w:val="clear" w:fill="auto"/>
          <w:lang w:val="en-US" w:eastAsia="zh-CN"/>
        </w:rPr>
        <w:t>实现</w:t>
      </w:r>
      <w:r>
        <w:rPr>
          <w:rFonts w:hint="eastAsia" w:ascii="仿宋_GB2312" w:hAnsi="仿宋_GB2312" w:eastAsia="仿宋_GB2312" w:cs="仿宋_GB2312"/>
          <w:sz w:val="32"/>
          <w:szCs w:val="32"/>
          <w:u w:val="none" w:color="auto"/>
          <w:shd w:val="clear" w:fill="auto"/>
          <w:lang w:eastAsia="zh-CN"/>
        </w:rPr>
        <w:t>惠民惠农资金分类分户公示，纸质档案定期装订留存，赴4个乡镇开展</w:t>
      </w:r>
      <w:r>
        <w:rPr>
          <w:rFonts w:hint="eastAsia" w:ascii="仿宋_GB2312" w:hAnsi="仿宋_GB2312" w:eastAsia="仿宋_GB2312" w:cs="仿宋_GB2312"/>
          <w:sz w:val="32"/>
          <w:szCs w:val="32"/>
          <w:u w:val="none" w:color="auto"/>
          <w:shd w:val="clear" w:fill="auto"/>
          <w:lang w:val="en-US" w:eastAsia="zh-CN"/>
        </w:rPr>
        <w:t>实地</w:t>
      </w:r>
      <w:r>
        <w:rPr>
          <w:rFonts w:hint="eastAsia" w:ascii="仿宋_GB2312" w:hAnsi="仿宋_GB2312" w:eastAsia="仿宋_GB2312" w:cs="仿宋_GB2312"/>
          <w:sz w:val="32"/>
          <w:szCs w:val="32"/>
          <w:u w:val="none" w:color="auto"/>
          <w:shd w:val="clear" w:fill="auto"/>
          <w:lang w:eastAsia="zh-CN"/>
        </w:rPr>
        <w:t>评估，抽查56个村档案资料。</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eastAsia" w:ascii="楷体_GB2312" w:hAnsi="楷体_GB2312" w:eastAsia="楷体_GB2312" w:cs="楷体_GB2312"/>
          <w:b/>
          <w:bCs/>
          <w:sz w:val="32"/>
          <w:szCs w:val="32"/>
          <w:u w:val="none" w:color="auto"/>
          <w:shd w:val="clear" w:fill="auto"/>
          <w:lang w:val="en-US" w:eastAsia="zh-CN"/>
        </w:rPr>
      </w:pPr>
      <w:r>
        <w:rPr>
          <w:rFonts w:hint="eastAsia" w:ascii="楷体_GB2312" w:hAnsi="楷体_GB2312" w:eastAsia="楷体_GB2312" w:cs="楷体_GB2312"/>
          <w:b/>
          <w:bCs/>
          <w:sz w:val="32"/>
          <w:szCs w:val="32"/>
          <w:u w:val="none" w:color="auto"/>
          <w:shd w:val="clear" w:fill="auto"/>
          <w:lang w:val="en-US" w:eastAsia="zh-CN"/>
        </w:rPr>
        <w:t>（二）依申请公开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_GB2312" w:hAnsi="仿宋_GB2312" w:eastAsia="仿宋_GB2312" w:cs="仿宋_GB2312"/>
          <w:sz w:val="32"/>
          <w:szCs w:val="32"/>
          <w:u w:val="none" w:color="auto"/>
          <w:shd w:val="clear" w:fill="auto"/>
          <w:lang w:val="en-US" w:eastAsia="zh-CN"/>
        </w:rPr>
      </w:pPr>
      <w:r>
        <w:rPr>
          <w:rFonts w:hint="eastAsia" w:ascii="仿宋_GB2312" w:hAnsi="仿宋_GB2312" w:eastAsia="仿宋_GB2312" w:cs="仿宋_GB2312"/>
          <w:sz w:val="32"/>
          <w:szCs w:val="32"/>
          <w:u w:val="none" w:color="auto"/>
          <w:shd w:val="clear" w:fill="auto"/>
          <w:lang w:val="en-US" w:eastAsia="zh-CN"/>
        </w:rPr>
        <w:t>持续履行答复会商机制，加强司法等部门协同，保障严谨、高效答复。今年实施老城改造等项目，涉及3000余户房屋征收，依申请数量较上年未增加，总58件办件中涉及征地仅3件，均规范办结，无行政复议。</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eastAsia" w:ascii="楷体_GB2312" w:hAnsi="楷体_GB2312" w:eastAsia="楷体_GB2312" w:cs="楷体_GB2312"/>
          <w:b/>
          <w:bCs/>
          <w:sz w:val="32"/>
          <w:szCs w:val="32"/>
          <w:u w:val="none" w:color="auto"/>
          <w:shd w:val="clear" w:fill="auto"/>
          <w:lang w:val="en-US" w:eastAsia="zh-CN"/>
        </w:rPr>
      </w:pPr>
      <w:r>
        <w:rPr>
          <w:rFonts w:hint="eastAsia" w:ascii="楷体_GB2312" w:hAnsi="楷体_GB2312" w:eastAsia="楷体_GB2312" w:cs="楷体_GB2312"/>
          <w:b/>
          <w:bCs/>
          <w:sz w:val="32"/>
          <w:szCs w:val="32"/>
          <w:u w:val="none" w:color="auto"/>
          <w:shd w:val="clear" w:fill="auto"/>
          <w:lang w:val="en-US" w:eastAsia="zh-CN"/>
        </w:rPr>
        <w:t>（三）政府信息管理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sz w:val="32"/>
          <w:szCs w:val="32"/>
          <w:u w:val="none" w:color="auto"/>
          <w:shd w:val="clear" w:fill="auto"/>
          <w:lang w:val="en-US" w:eastAsia="zh-CN"/>
        </w:rPr>
      </w:pPr>
      <w:r>
        <w:rPr>
          <w:rFonts w:hint="eastAsia" w:ascii="仿宋_GB2312" w:hAnsi="仿宋_GB2312" w:eastAsia="仿宋_GB2312" w:cs="仿宋_GB2312"/>
          <w:sz w:val="32"/>
          <w:szCs w:val="32"/>
          <w:u w:val="none" w:color="auto"/>
          <w:shd w:val="clear" w:fill="auto"/>
          <w:lang w:val="en-US" w:eastAsia="zh-CN"/>
        </w:rPr>
        <w:t>加强规范性文件备案审核，严格依照省定格式规范，通过政策文件库集中发布现行有效规范性电子版本。依照乡镇赋权、权责清单动态调整，加强权力运行结果公开，与“双公示”平台数据同源，公开一致。</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eastAsia" w:ascii="楷体_GB2312" w:hAnsi="楷体_GB2312" w:eastAsia="楷体_GB2312" w:cs="楷体_GB2312"/>
          <w:b/>
          <w:bCs/>
          <w:sz w:val="32"/>
          <w:szCs w:val="32"/>
          <w:u w:val="none" w:color="auto"/>
          <w:shd w:val="clear" w:fill="auto"/>
          <w:lang w:val="en-US" w:eastAsia="zh-CN"/>
        </w:rPr>
      </w:pPr>
      <w:r>
        <w:rPr>
          <w:rFonts w:hint="eastAsia" w:ascii="楷体_GB2312" w:hAnsi="楷体_GB2312" w:eastAsia="楷体_GB2312" w:cs="楷体_GB2312"/>
          <w:b/>
          <w:bCs/>
          <w:sz w:val="32"/>
          <w:szCs w:val="32"/>
          <w:u w:val="none" w:color="auto"/>
          <w:shd w:val="clear" w:fill="auto"/>
          <w:lang w:val="en-US" w:eastAsia="zh-CN"/>
        </w:rPr>
        <w:t>（四）政府信息公开平台建设情况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sz w:val="32"/>
          <w:szCs w:val="32"/>
          <w:u w:val="none" w:color="auto"/>
          <w:shd w:val="clear" w:fill="auto"/>
          <w:lang w:val="en-US" w:eastAsia="zh-CN"/>
        </w:rPr>
      </w:pPr>
      <w:r>
        <w:rPr>
          <w:rFonts w:hint="eastAsia" w:ascii="仿宋_GB2312" w:hAnsi="仿宋_GB2312" w:eastAsia="仿宋_GB2312" w:cs="仿宋_GB2312"/>
          <w:sz w:val="32"/>
          <w:szCs w:val="32"/>
          <w:u w:val="none" w:color="auto"/>
          <w:shd w:val="clear" w:fill="auto"/>
          <w:lang w:val="en-US" w:eastAsia="zh-CN"/>
        </w:rPr>
        <w:t>政务双微稳定运营，刊发政府公报4期，完善检索功能。持续管护和用活县、乡（24个）政务公开专区，开展政策宣讲、办事服务主题活动46场次，加强政策咨询综合服务窗口建设，完善咨询答复工作机制，做到有问能答，有问必答。</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楷体_GB2312" w:hAnsi="楷体_GB2312" w:eastAsia="楷体_GB2312" w:cs="楷体_GB2312"/>
          <w:b/>
          <w:bCs/>
          <w:sz w:val="32"/>
          <w:szCs w:val="32"/>
          <w:u w:val="none" w:color="auto"/>
          <w:shd w:val="clear" w:fill="auto"/>
          <w:lang w:val="en-US" w:eastAsia="zh-CN"/>
        </w:rPr>
      </w:pPr>
      <w:r>
        <w:rPr>
          <w:rFonts w:hint="eastAsia" w:ascii="楷体_GB2312" w:hAnsi="楷体_GB2312" w:eastAsia="楷体_GB2312" w:cs="楷体_GB2312"/>
          <w:b/>
          <w:bCs/>
          <w:sz w:val="32"/>
          <w:szCs w:val="32"/>
          <w:u w:val="none" w:color="auto"/>
          <w:shd w:val="clear" w:fill="auto"/>
          <w:lang w:val="en-US" w:eastAsia="zh-CN"/>
        </w:rPr>
        <w:t>（五）监督保障</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hint="eastAsia" w:ascii="黑体" w:hAnsi="黑体" w:eastAsia="黑体" w:cs="黑体"/>
          <w:b/>
          <w:color w:val="auto"/>
          <w:sz w:val="32"/>
          <w:szCs w:val="32"/>
          <w:highlight w:val="none"/>
          <w:u w:val="none" w:color="auto"/>
          <w:shd w:val="clear" w:color="auto" w:fill="auto"/>
        </w:rPr>
      </w:pPr>
      <w:r>
        <w:rPr>
          <w:rFonts w:hint="eastAsia" w:ascii="仿宋_GB2312" w:hAnsi="仿宋_GB2312" w:eastAsia="仿宋_GB2312" w:cs="仿宋_GB2312"/>
          <w:sz w:val="32"/>
          <w:szCs w:val="32"/>
          <w:u w:val="none" w:color="auto"/>
          <w:shd w:val="clear" w:fill="auto"/>
          <w:lang w:val="en-US" w:eastAsia="zh-CN"/>
        </w:rPr>
        <w:t>县直部门</w:t>
      </w:r>
      <w:r>
        <w:rPr>
          <w:rFonts w:hint="eastAsia" w:ascii="仿宋_GB2312" w:hAnsi="仿宋_GB2312" w:eastAsia="仿宋_GB2312" w:cs="仿宋_GB2312"/>
          <w:sz w:val="32"/>
          <w:szCs w:val="32"/>
          <w:u w:val="none" w:color="auto"/>
          <w:shd w:val="clear" w:fill="auto"/>
          <w:lang w:eastAsia="zh-CN"/>
        </w:rPr>
        <w:t>政务公开目标管理考核分值由2分增加到5分，</w:t>
      </w:r>
      <w:r>
        <w:rPr>
          <w:rFonts w:hint="eastAsia" w:ascii="仿宋_GB2312" w:hAnsi="仿宋_GB2312" w:eastAsia="仿宋_GB2312" w:cs="仿宋_GB2312"/>
          <w:sz w:val="32"/>
          <w:szCs w:val="32"/>
          <w:u w:val="none" w:color="auto"/>
          <w:shd w:val="clear" w:fill="auto"/>
          <w:lang w:val="en-US" w:eastAsia="zh-CN"/>
        </w:rPr>
        <w:t>优化季度监测比重，</w:t>
      </w:r>
      <w:r>
        <w:rPr>
          <w:rFonts w:hint="eastAsia" w:ascii="仿宋_GB2312" w:hAnsi="仿宋_GB2312" w:eastAsia="仿宋_GB2312" w:cs="仿宋_GB2312"/>
          <w:sz w:val="32"/>
          <w:szCs w:val="32"/>
          <w:u w:val="none" w:color="auto"/>
          <w:shd w:val="clear" w:fill="auto"/>
          <w:lang w:eastAsia="zh-CN"/>
        </w:rPr>
        <w:t>对季度监测低于80分单位负责人进行约谈，</w:t>
      </w:r>
      <w:r>
        <w:rPr>
          <w:rFonts w:hint="eastAsia" w:ascii="仿宋_GB2312" w:hAnsi="仿宋_GB2312" w:eastAsia="仿宋_GB2312" w:cs="仿宋_GB2312"/>
          <w:sz w:val="32"/>
          <w:szCs w:val="32"/>
          <w:u w:val="none" w:color="auto"/>
          <w:shd w:val="clear" w:fill="auto"/>
          <w:lang w:val="en-US" w:eastAsia="zh-CN"/>
        </w:rPr>
        <w:t>将</w:t>
      </w:r>
      <w:r>
        <w:rPr>
          <w:rFonts w:hint="eastAsia" w:ascii="仿宋_GB2312" w:hAnsi="仿宋_GB2312" w:eastAsia="仿宋_GB2312" w:cs="仿宋_GB2312"/>
          <w:sz w:val="32"/>
          <w:szCs w:val="32"/>
          <w:u w:val="none" w:color="auto"/>
          <w:shd w:val="clear" w:fill="auto"/>
          <w:lang w:eastAsia="zh-CN"/>
        </w:rPr>
        <w:t>政务公开工作纳入县政府表彰。</w:t>
      </w:r>
      <w:r>
        <w:rPr>
          <w:rFonts w:hint="eastAsia" w:ascii="仿宋_GB2312" w:hAnsi="仿宋_GB2312" w:eastAsia="仿宋_GB2312" w:cs="仿宋_GB2312"/>
          <w:sz w:val="32"/>
          <w:szCs w:val="32"/>
          <w:u w:val="none" w:color="auto"/>
          <w:shd w:val="clear" w:fill="auto"/>
          <w:lang w:val="en-US" w:eastAsia="zh-CN"/>
        </w:rPr>
        <w:t>充实</w:t>
      </w:r>
      <w:r>
        <w:rPr>
          <w:rFonts w:hint="eastAsia" w:ascii="仿宋_GB2312" w:hAnsi="仿宋_GB2312" w:eastAsia="仿宋_GB2312" w:cs="仿宋_GB2312"/>
          <w:sz w:val="32"/>
          <w:szCs w:val="32"/>
          <w:u w:val="none" w:color="auto"/>
          <w:shd w:val="clear" w:fill="auto"/>
          <w:lang w:eastAsia="zh-CN"/>
        </w:rPr>
        <w:t>公开队伍，新招录公务员1人，跟班学习6人次，培训经办人员乡镇5次、县直3次，编制《新时代政务公开》专题课程，乡镇党校培训</w:t>
      </w:r>
      <w:r>
        <w:rPr>
          <w:rFonts w:hint="eastAsia" w:ascii="仿宋_GB2312" w:hAnsi="仿宋_GB2312" w:eastAsia="仿宋_GB2312" w:cs="仿宋_GB2312"/>
          <w:sz w:val="32"/>
          <w:szCs w:val="32"/>
          <w:u w:val="none" w:color="auto"/>
          <w:shd w:val="clear" w:fill="auto"/>
          <w:lang w:val="en-US" w:eastAsia="zh-CN"/>
        </w:rPr>
        <w:t>6</w:t>
      </w:r>
      <w:r>
        <w:rPr>
          <w:rFonts w:hint="eastAsia" w:ascii="仿宋_GB2312" w:hAnsi="仿宋_GB2312" w:eastAsia="仿宋_GB2312" w:cs="仿宋_GB2312"/>
          <w:sz w:val="32"/>
          <w:szCs w:val="32"/>
          <w:u w:val="none" w:color="auto"/>
          <w:shd w:val="clear" w:fill="auto"/>
          <w:lang w:eastAsia="zh-CN"/>
        </w:rPr>
        <w:t>期。落实政府信息公开社会评议和责任追究制度，本年度未发生责任追究事件。</w:t>
      </w:r>
    </w:p>
    <w:p>
      <w:pPr>
        <w:pStyle w:val="5"/>
        <w:widowControl/>
        <w:shd w:val="clear" w:color="auto" w:fill="FFFFFF"/>
        <w:spacing w:before="0" w:beforeAutospacing="0" w:after="0" w:afterAutospacing="0"/>
        <w:ind w:firstLine="420"/>
        <w:jc w:val="both"/>
        <w:rPr>
          <w:rFonts w:hint="default" w:ascii="宋体" w:hAnsi="宋体" w:eastAsia="宋体" w:cs="宋体"/>
          <w:color w:val="auto"/>
          <w:szCs w:val="24"/>
          <w:highlight w:val="none"/>
          <w:u w:val="none" w:color="auto"/>
          <w:shd w:val="clear" w:color="auto" w:fill="auto"/>
        </w:rPr>
      </w:pPr>
      <w:r>
        <w:rPr>
          <w:rFonts w:hint="eastAsia" w:ascii="黑体" w:hAnsi="黑体" w:eastAsia="黑体" w:cs="黑体"/>
          <w:b/>
          <w:color w:val="auto"/>
          <w:sz w:val="32"/>
          <w:szCs w:val="32"/>
          <w:highlight w:val="none"/>
          <w:u w:val="none" w:color="auto"/>
          <w:shd w:val="clear" w:color="auto" w:fill="auto"/>
        </w:rPr>
        <w:t>二、主动公开政府信息情况</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ascii="仿宋_GB2312" w:hAnsi="Times New Roman" w:eastAsia="仿宋_GB2312" w:cs="Times New Roman"/>
          <w:color w:val="auto"/>
          <w:sz w:val="32"/>
          <w:szCs w:val="32"/>
          <w:highlight w:val="none"/>
          <w:u w:val="none" w:color="auto"/>
          <w:shd w:val="clear" w:color="auto" w:fill="auto"/>
        </w:rPr>
      </w:pPr>
    </w:p>
    <w:tbl>
      <w:tblPr>
        <w:tblStyle w:val="3"/>
        <w:tblW w:w="0" w:type="auto"/>
        <w:jc w:val="center"/>
        <w:tblLayout w:type="fixed"/>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信息内容</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本年制发件数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本年废止件数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现行有效件数</w:t>
            </w:r>
          </w:p>
        </w:tc>
      </w:tr>
      <w:tr>
        <w:tblPrEx>
          <w:tblCellMar>
            <w:top w:w="0" w:type="dxa"/>
            <w:left w:w="0" w:type="dxa"/>
            <w:bottom w:w="0" w:type="dxa"/>
            <w:right w:w="0" w:type="dxa"/>
          </w:tblCellMar>
        </w:tblPrEx>
        <w:trPr>
          <w:trHeight w:val="459"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left"/>
              <w:rPr>
                <w:rFonts w:hint="default" w:ascii="宋体" w:hAnsi="宋体" w:eastAsia="宋体" w:cs="宋体"/>
                <w:color w:val="auto"/>
                <w:kern w:val="0"/>
                <w:sz w:val="20"/>
                <w:szCs w:val="20"/>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color w:val="auto"/>
                <w:kern w:val="0"/>
                <w:sz w:val="20"/>
                <w:szCs w:val="20"/>
                <w:highlight w:val="none"/>
                <w:u w:val="none" w:color="auto"/>
                <w:shd w:val="clear" w:color="auto" w:fill="auto"/>
                <w:lang w:eastAsia="zh-CN"/>
              </w:rPr>
            </w:pPr>
            <w:r>
              <w:rPr>
                <w:rFonts w:hint="eastAsia" w:ascii="宋体" w:hAnsi="宋体" w:eastAsia="宋体" w:cs="宋体"/>
                <w:color w:val="auto"/>
                <w:kern w:val="0"/>
                <w:sz w:val="20"/>
                <w:szCs w:val="20"/>
                <w:highlight w:val="none"/>
                <w:u w:val="none" w:color="auto"/>
                <w:shd w:val="clear" w:color="auto" w:fill="auto"/>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宋体" w:hAnsi="宋体" w:eastAsia="宋体" w:cs="宋体"/>
                <w:color w:val="auto"/>
                <w:kern w:val="0"/>
                <w:sz w:val="20"/>
                <w:szCs w:val="20"/>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lang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宋体" w:hAnsi="宋体" w:eastAsia="宋体" w:cs="宋体"/>
                <w:color w:val="auto"/>
                <w:kern w:val="0"/>
                <w:sz w:val="20"/>
                <w:szCs w:val="20"/>
                <w:highlight w:val="none"/>
                <w:u w:val="none" w:color="auto"/>
                <w:shd w:val="clear" w:color="auto" w:fill="auto"/>
                <w:lang w:eastAsia="zh-CN"/>
              </w:rPr>
            </w:pPr>
            <w:r>
              <w:rPr>
                <w:rFonts w:hint="eastAsia" w:ascii="宋体" w:hAnsi="宋体" w:eastAsia="宋体" w:cs="宋体"/>
                <w:color w:val="auto"/>
                <w:kern w:val="0"/>
                <w:sz w:val="20"/>
                <w:szCs w:val="20"/>
                <w:highlight w:val="none"/>
                <w:u w:val="none" w:color="auto"/>
                <w:shd w:val="clear" w:color="auto" w:fill="auto"/>
                <w:lang w:eastAsia="zh-C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left"/>
              <w:rPr>
                <w:rFonts w:hint="default" w:ascii="宋体" w:hAnsi="宋体" w:eastAsia="宋体" w:cs="宋体"/>
                <w:color w:val="auto"/>
                <w:kern w:val="0"/>
                <w:sz w:val="20"/>
                <w:szCs w:val="20"/>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宋体" w:hAnsi="宋体" w:eastAsia="宋体" w:cs="宋体"/>
                <w:color w:val="auto"/>
                <w:kern w:val="0"/>
                <w:sz w:val="20"/>
                <w:szCs w:val="20"/>
                <w:highlight w:val="none"/>
                <w:u w:val="none" w:color="auto"/>
                <w:shd w:val="clear" w:color="auto" w:fill="auto"/>
                <w:lang w:val="en-US" w:eastAsia="zh-CN"/>
              </w:rPr>
            </w:pPr>
            <w:r>
              <w:rPr>
                <w:rFonts w:hint="eastAsia" w:ascii="宋体" w:hAnsi="宋体" w:eastAsia="宋体" w:cs="宋体"/>
                <w:color w:val="auto"/>
                <w:kern w:val="0"/>
                <w:sz w:val="20"/>
                <w:szCs w:val="20"/>
                <w:highlight w:val="none"/>
                <w:u w:val="none" w:color="auto"/>
                <w:shd w:val="clear" w:color="auto" w:fill="auto"/>
                <w:lang w:val="en-US" w:eastAsia="zh-CN"/>
              </w:rPr>
              <w:t>10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宋体" w:hAnsi="宋体" w:eastAsia="宋体" w:cs="宋体"/>
                <w:color w:val="auto"/>
                <w:kern w:val="0"/>
                <w:sz w:val="20"/>
                <w:szCs w:val="20"/>
                <w:highlight w:val="none"/>
                <w:u w:val="none" w:color="auto"/>
                <w:shd w:val="clear" w:color="auto" w:fill="auto"/>
                <w:lang w:val="en-US"/>
              </w:rPr>
            </w:pPr>
            <w:r>
              <w:rPr>
                <w:rFonts w:hint="eastAsia" w:ascii="宋体" w:hAnsi="宋体" w:eastAsia="宋体" w:cs="宋体"/>
                <w:color w:val="auto"/>
                <w:kern w:val="0"/>
                <w:sz w:val="20"/>
                <w:szCs w:val="20"/>
                <w:highlight w:val="none"/>
                <w:u w:val="none" w:color="auto"/>
                <w:shd w:val="clear" w:color="auto" w:fill="auto"/>
                <w:lang w:val="en-US" w:eastAsia="zh-CN"/>
              </w:rPr>
              <w:t>22</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宋体" w:hAnsi="宋体" w:eastAsia="宋体" w:cs="宋体"/>
                <w:color w:val="auto"/>
                <w:kern w:val="0"/>
                <w:sz w:val="20"/>
                <w:szCs w:val="20"/>
                <w:highlight w:val="none"/>
                <w:u w:val="none" w:color="auto"/>
                <w:shd w:val="clear" w:color="auto" w:fill="auto"/>
                <w:lang w:val="en-US" w:eastAsia="zh-CN"/>
              </w:rPr>
            </w:pPr>
            <w:r>
              <w:rPr>
                <w:rFonts w:hint="eastAsia" w:ascii="宋体" w:hAnsi="宋体" w:eastAsia="宋体" w:cs="宋体"/>
                <w:color w:val="auto"/>
                <w:kern w:val="0"/>
                <w:sz w:val="20"/>
                <w:szCs w:val="20"/>
                <w:highlight w:val="none"/>
                <w:u w:val="none" w:color="auto"/>
                <w:shd w:val="clear" w:color="auto" w:fill="auto"/>
                <w:lang w:val="en-US" w:eastAsia="zh-CN"/>
              </w:rPr>
              <w:t>134</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信息内容</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仿宋_GB2312" w:hAnsi="Times New Roman" w:eastAsia="仿宋_GB2312" w:cs="Times New Roman"/>
                <w:color w:val="auto"/>
                <w:sz w:val="32"/>
                <w:szCs w:val="32"/>
                <w:highlight w:val="none"/>
                <w:u w:val="none" w:color="auto"/>
                <w:shd w:val="clear" w:color="auto" w:fill="auto"/>
                <w:lang w:val="en-US" w:eastAsia="zh-CN"/>
              </w:rPr>
            </w:pPr>
            <w:r>
              <w:rPr>
                <w:rFonts w:hint="eastAsia" w:ascii="宋体" w:hAnsi="宋体" w:eastAsia="宋体" w:cs="宋体"/>
                <w:color w:val="auto"/>
                <w:kern w:val="0"/>
                <w:sz w:val="20"/>
                <w:szCs w:val="20"/>
                <w:highlight w:val="none"/>
                <w:u w:val="none" w:color="auto"/>
                <w:shd w:val="clear" w:color="auto" w:fill="auto"/>
                <w:lang w:val="en-US" w:eastAsia="zh-CN"/>
              </w:rPr>
              <w:t>17078</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信息内容</w:t>
            </w:r>
          </w:p>
        </w:tc>
        <w:tc>
          <w:tcPr>
            <w:tcW w:w="730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本年处理决定数量</w:t>
            </w:r>
          </w:p>
        </w:tc>
      </w:tr>
      <w:tr>
        <w:tblPrEx>
          <w:tblCellMar>
            <w:top w:w="0" w:type="dxa"/>
            <w:left w:w="0" w:type="dxa"/>
            <w:bottom w:w="0" w:type="dxa"/>
            <w:right w:w="0" w:type="dxa"/>
          </w:tblCellMar>
        </w:tblPrEx>
        <w:trPr>
          <w:trHeight w:val="414"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left"/>
              <w:rPr>
                <w:rFonts w:hint="default" w:ascii="宋体" w:hAnsi="宋体" w:eastAsia="宋体" w:cs="宋体"/>
                <w:color w:val="auto"/>
                <w:kern w:val="0"/>
                <w:sz w:val="20"/>
                <w:szCs w:val="20"/>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宋体" w:hAnsi="宋体" w:eastAsia="宋体" w:cs="宋体"/>
                <w:color w:val="auto"/>
                <w:kern w:val="0"/>
                <w:sz w:val="20"/>
                <w:szCs w:val="20"/>
                <w:highlight w:val="none"/>
                <w:u w:val="none" w:color="auto"/>
                <w:shd w:val="clear" w:color="auto" w:fill="auto"/>
                <w:lang w:val="en-US" w:eastAsia="zh-CN"/>
              </w:rPr>
            </w:pPr>
            <w:r>
              <w:rPr>
                <w:rFonts w:hint="eastAsia" w:ascii="宋体" w:hAnsi="宋体" w:eastAsia="宋体" w:cs="宋体"/>
                <w:color w:val="auto"/>
                <w:kern w:val="0"/>
                <w:sz w:val="20"/>
                <w:szCs w:val="20"/>
                <w:highlight w:val="none"/>
                <w:u w:val="none" w:color="auto"/>
                <w:shd w:val="clear" w:color="auto" w:fill="auto"/>
                <w:lang w:val="en-US" w:eastAsia="zh-CN"/>
              </w:rPr>
              <w:t>2310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left"/>
              <w:rPr>
                <w:rFonts w:hint="default" w:ascii="宋体" w:hAnsi="宋体" w:eastAsia="宋体" w:cs="宋体"/>
                <w:color w:val="auto"/>
                <w:kern w:val="0"/>
                <w:sz w:val="20"/>
                <w:szCs w:val="20"/>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宋体" w:hAnsi="宋体" w:eastAsia="宋体" w:cs="宋体"/>
                <w:color w:val="auto"/>
                <w:kern w:val="0"/>
                <w:sz w:val="20"/>
                <w:szCs w:val="20"/>
                <w:highlight w:val="none"/>
                <w:u w:val="none" w:color="auto"/>
                <w:shd w:val="clear" w:color="auto" w:fill="auto"/>
                <w:lang w:val="en-US" w:eastAsia="zh-CN"/>
              </w:rPr>
            </w:pPr>
            <w:r>
              <w:rPr>
                <w:rFonts w:hint="eastAsia" w:ascii="宋体" w:hAnsi="宋体" w:eastAsia="宋体" w:cs="宋体"/>
                <w:color w:val="auto"/>
                <w:kern w:val="0"/>
                <w:sz w:val="20"/>
                <w:szCs w:val="20"/>
                <w:highlight w:val="none"/>
                <w:u w:val="none" w:color="auto"/>
                <w:shd w:val="clear" w:color="auto" w:fill="auto"/>
                <w:lang w:val="en-US" w:eastAsia="zh-CN"/>
              </w:rPr>
              <w:t>649</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信息内容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jc w:val="center"/>
              <w:rPr>
                <w:rFonts w:hint="default" w:ascii="宋体" w:hAnsi="Times New Roman" w:eastAsia="仿宋_GB2312" w:cs="Times New Roman"/>
                <w:color w:val="auto"/>
                <w:sz w:val="24"/>
                <w:szCs w:val="24"/>
                <w:highlight w:val="none"/>
                <w:u w:val="none" w:color="auto"/>
                <w:shd w:val="clear" w:color="auto" w:fill="auto"/>
                <w:lang w:val="en-US" w:eastAsia="zh-CN"/>
              </w:rPr>
            </w:pPr>
            <w:r>
              <w:rPr>
                <w:rFonts w:hint="eastAsia" w:ascii="宋体" w:hAnsi="宋体" w:eastAsia="宋体" w:cs="宋体"/>
                <w:color w:val="auto"/>
                <w:kern w:val="0"/>
                <w:sz w:val="20"/>
                <w:szCs w:val="20"/>
                <w:highlight w:val="none"/>
                <w:u w:val="none" w:color="auto"/>
                <w:shd w:val="clear" w:color="auto" w:fill="auto"/>
                <w:lang w:val="en-US" w:eastAsia="zh-CN"/>
              </w:rPr>
              <w:t>11876.44</w:t>
            </w:r>
          </w:p>
        </w:tc>
      </w:tr>
    </w:tbl>
    <w:p>
      <w:pPr>
        <w:widowControl/>
        <w:jc w:val="left"/>
        <w:rPr>
          <w:rFonts w:ascii="仿宋_GB2312" w:hAnsi="Times New Roman" w:eastAsia="仿宋_GB2312" w:cs="Times New Roman"/>
          <w:color w:val="auto"/>
          <w:sz w:val="32"/>
          <w:szCs w:val="32"/>
          <w:highlight w:val="none"/>
          <w:u w:val="none" w:color="auto"/>
          <w:shd w:val="clear" w:color="auto" w:fill="auto"/>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default" w:ascii="黑体" w:hAnsi="黑体" w:eastAsia="黑体" w:cs="黑体"/>
          <w:b w:val="0"/>
          <w:bCs/>
          <w:color w:val="auto"/>
          <w:sz w:val="32"/>
          <w:szCs w:val="32"/>
          <w:highlight w:val="none"/>
          <w:u w:val="none" w:color="auto"/>
          <w:shd w:val="clear" w:color="auto" w:fill="auto"/>
        </w:rPr>
      </w:pPr>
      <w:r>
        <w:rPr>
          <w:rFonts w:hint="eastAsia" w:ascii="黑体" w:hAnsi="黑体" w:eastAsia="黑体" w:cs="黑体"/>
          <w:b w:val="0"/>
          <w:bCs/>
          <w:color w:val="auto"/>
          <w:sz w:val="32"/>
          <w:szCs w:val="32"/>
          <w:highlight w:val="none"/>
          <w:u w:val="none" w:color="auto"/>
          <w:shd w:val="clear" w:color="auto" w:fill="auto"/>
        </w:rPr>
        <w:t>三、收到和处理政府信息公开申请情况</w:t>
      </w:r>
    </w:p>
    <w:p>
      <w:pPr>
        <w:pStyle w:val="5"/>
        <w:widowControl/>
        <w:shd w:val="clear" w:color="auto" w:fill="FFFFFF"/>
        <w:spacing w:before="0" w:beforeAutospacing="0" w:after="0" w:afterAutospacing="0"/>
        <w:ind w:firstLine="420"/>
        <w:jc w:val="both"/>
        <w:rPr>
          <w:rFonts w:hint="default" w:ascii="宋体" w:hAnsi="宋体" w:eastAsia="宋体" w:cs="宋体"/>
          <w:color w:val="auto"/>
          <w:szCs w:val="24"/>
          <w:highlight w:val="none"/>
          <w:u w:val="none" w:color="auto"/>
          <w:shd w:val="clear" w:color="auto" w:fill="auto"/>
        </w:rPr>
      </w:pPr>
    </w:p>
    <w:tbl>
      <w:tblPr>
        <w:tblStyle w:val="3"/>
        <w:tblW w:w="9745"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767"/>
        <w:gridCol w:w="943"/>
        <w:gridCol w:w="3219"/>
        <w:gridCol w:w="688"/>
        <w:gridCol w:w="688"/>
        <w:gridCol w:w="688"/>
        <w:gridCol w:w="688"/>
        <w:gridCol w:w="688"/>
        <w:gridCol w:w="688"/>
        <w:gridCol w:w="68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default" w:ascii="楷体" w:hAnsi="楷体" w:eastAsia="楷体" w:cs="楷体"/>
                <w:color w:val="auto"/>
                <w:kern w:val="0"/>
                <w:sz w:val="20"/>
                <w:szCs w:val="20"/>
                <w:highlight w:val="none"/>
                <w:u w:val="none" w:color="auto"/>
                <w:shd w:val="clear" w:color="auto" w:fill="auto"/>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default" w:ascii="宋体" w:hAnsi="Times New Roman" w:eastAsia="仿宋_GB2312" w:cs="Times New Roman"/>
                <w:color w:val="auto"/>
                <w:sz w:val="24"/>
                <w:szCs w:val="24"/>
                <w:highlight w:val="none"/>
                <w:u w:val="none" w:color="auto"/>
                <w:shd w:val="clear" w:color="auto" w:fill="auto"/>
              </w:rPr>
            </w:pPr>
          </w:p>
        </w:tc>
        <w:tc>
          <w:tcPr>
            <w:tcW w:w="688" w:type="dxa"/>
            <w:vMerge w:val="restart"/>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自然人</w:t>
            </w:r>
          </w:p>
        </w:tc>
        <w:tc>
          <w:tcPr>
            <w:tcW w:w="344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法人或其他组织</w:t>
            </w:r>
          </w:p>
        </w:tc>
        <w:tc>
          <w:tcPr>
            <w:tcW w:w="688" w:type="dxa"/>
            <w:vMerge w:val="restart"/>
            <w:tcBorders>
              <w:top w:val="single" w:color="auto" w:sz="8" w:space="0"/>
              <w:left w:val="nil"/>
              <w:bottom w:val="outset" w:color="auto" w:sz="8" w:space="0"/>
              <w:right w:val="single" w:color="auto" w:sz="8" w:space="0"/>
            </w:tcBorders>
            <w:noWrap w:val="0"/>
            <w:tcMar>
              <w:left w:w="108" w:type="dxa"/>
              <w:right w:w="108" w:type="dxa"/>
            </w:tcMar>
            <w:vAlign w:val="center"/>
          </w:tcPr>
          <w:p>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default" w:ascii="宋体" w:hAnsi="Times New Roman" w:eastAsia="仿宋_GB2312" w:cs="Times New Roman"/>
                <w:color w:val="auto"/>
                <w:sz w:val="24"/>
                <w:szCs w:val="24"/>
                <w:highlight w:val="none"/>
                <w:u w:val="none" w:color="auto"/>
                <w:shd w:val="clear" w:color="auto" w:fill="auto"/>
              </w:rPr>
            </w:pPr>
          </w:p>
        </w:tc>
        <w:tc>
          <w:tcPr>
            <w:tcW w:w="688" w:type="dxa"/>
            <w:vMerge w:val="continue"/>
            <w:tcBorders>
              <w:top w:val="nil"/>
              <w:left w:val="nil"/>
              <w:bottom w:val="single" w:color="auto" w:sz="8" w:space="0"/>
              <w:right w:val="single" w:color="auto" w:sz="8" w:space="0"/>
            </w:tcBorders>
            <w:noWrap w:val="0"/>
            <w:tcMar>
              <w:left w:w="57" w:type="dxa"/>
              <w:right w:w="57" w:type="dxa"/>
            </w:tcMar>
            <w:vAlign w:val="center"/>
          </w:tcPr>
          <w:p>
            <w:pPr>
              <w:rPr>
                <w:rFonts w:hint="default" w:ascii="宋体" w:hAnsi="Times New Roman" w:eastAsia="仿宋_GB2312" w:cs="Times New Roman"/>
                <w:color w:val="auto"/>
                <w:sz w:val="24"/>
                <w:szCs w:val="24"/>
                <w:highlight w:val="none"/>
                <w:u w:val="none" w:color="auto"/>
                <w:shd w:val="clear" w:color="auto" w:fill="auto"/>
              </w:rPr>
            </w:pPr>
          </w:p>
        </w:tc>
        <w:tc>
          <w:tcPr>
            <w:tcW w:w="688"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商业</w:t>
            </w:r>
          </w:p>
          <w:p>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企业</w:t>
            </w:r>
          </w:p>
        </w:tc>
        <w:tc>
          <w:tcPr>
            <w:tcW w:w="688"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科研</w:t>
            </w:r>
          </w:p>
          <w:p>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机构</w:t>
            </w:r>
          </w:p>
        </w:tc>
        <w:tc>
          <w:tcPr>
            <w:tcW w:w="688"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社会公益组织</w:t>
            </w:r>
          </w:p>
        </w:tc>
        <w:tc>
          <w:tcPr>
            <w:tcW w:w="688"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法律服务机构</w:t>
            </w:r>
          </w:p>
        </w:tc>
        <w:tc>
          <w:tcPr>
            <w:tcW w:w="688"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其他</w:t>
            </w:r>
          </w:p>
        </w:tc>
        <w:tc>
          <w:tcPr>
            <w:tcW w:w="688" w:type="dxa"/>
            <w:vMerge w:val="continue"/>
            <w:tcBorders>
              <w:top w:val="single" w:color="auto" w:sz="8" w:space="0"/>
              <w:left w:val="nil"/>
              <w:bottom w:val="outset" w:color="auto" w:sz="8" w:space="0"/>
              <w:right w:val="single" w:color="auto" w:sz="8" w:space="0"/>
            </w:tcBorders>
            <w:noWrap w:val="0"/>
            <w:tcMar>
              <w:left w:w="108" w:type="dxa"/>
              <w:right w:w="108" w:type="dxa"/>
            </w:tcMar>
            <w:vAlign w:val="center"/>
          </w:tcPr>
          <w:p>
            <w:pPr>
              <w:rPr>
                <w:rFonts w:hint="default" w:ascii="宋体" w:hAnsi="Times New Roman" w:eastAsia="仿宋_GB2312" w:cs="Times New Roman"/>
                <w:color w:val="auto"/>
                <w:sz w:val="24"/>
                <w:szCs w:val="24"/>
                <w:highlight w:val="none"/>
                <w:u w:val="none" w:color="auto"/>
                <w:shd w:val="clear" w:color="auto" w:fill="auto"/>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59</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59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2</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三、本年度办理结果</w:t>
            </w:r>
          </w:p>
        </w:tc>
        <w:tc>
          <w:tcPr>
            <w:tcW w:w="4162" w:type="dxa"/>
            <w:gridSpan w:val="2"/>
            <w:tcBorders>
              <w:top w:val="nil"/>
              <w:left w:val="nil"/>
              <w:bottom w:val="single" w:color="auto" w:sz="8" w:space="0"/>
              <w:right w:val="single" w:color="auto" w:sz="8" w:space="0"/>
            </w:tcBorders>
            <w:noWrap w:val="0"/>
            <w:tcMar>
              <w:left w:w="57" w:type="dxa"/>
              <w:right w:w="57" w:type="dxa"/>
            </w:tcMar>
            <w:vAlign w:val="center"/>
          </w:tcPr>
          <w:p>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24</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widowControl/>
              <w:jc w:val="center"/>
              <w:rPr>
                <w:rFonts w:hint="default"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24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宋体" w:hAnsi="Times New Roman" w:eastAsia="仿宋_GB2312" w:cs="Times New Roman"/>
                <w:color w:val="auto"/>
                <w:sz w:val="24"/>
                <w:szCs w:val="24"/>
                <w:highlight w:val="none"/>
                <w:u w:val="none" w:color="auto"/>
                <w:shd w:val="clear" w:color="auto" w:fill="auto"/>
              </w:rPr>
            </w:pPr>
          </w:p>
        </w:tc>
        <w:tc>
          <w:tcPr>
            <w:tcW w:w="4162" w:type="dxa"/>
            <w:gridSpan w:val="2"/>
            <w:tcBorders>
              <w:top w:val="nil"/>
              <w:left w:val="nil"/>
              <w:bottom w:val="single" w:color="auto" w:sz="8" w:space="0"/>
              <w:right w:val="single" w:color="auto" w:sz="8" w:space="0"/>
            </w:tcBorders>
            <w:noWrap w:val="0"/>
            <w:tcMar>
              <w:left w:w="57" w:type="dxa"/>
              <w:right w:w="57" w:type="dxa"/>
            </w:tcMar>
            <w:vAlign w:val="center"/>
          </w:tcPr>
          <w:p>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（二）部分公开</w:t>
            </w:r>
            <w:r>
              <w:rPr>
                <w:rFonts w:hint="eastAsia" w:ascii="楷体" w:hAnsi="楷体" w:eastAsia="楷体" w:cs="楷体"/>
                <w:color w:val="auto"/>
                <w:kern w:val="0"/>
                <w:sz w:val="20"/>
                <w:szCs w:val="20"/>
                <w:highlight w:val="none"/>
                <w:u w:val="none" w:color="auto"/>
                <w:shd w:val="clear" w:color="auto" w:fill="auto"/>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6</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宋体" w:hAnsi="Times New Roman" w:eastAsia="仿宋_GB2312" w:cs="Times New Roman"/>
                <w:color w:val="auto"/>
                <w:sz w:val="24"/>
                <w:szCs w:val="24"/>
                <w:highlight w:val="none"/>
                <w:u w:val="none" w:color="auto"/>
                <w:shd w:val="clear" w:color="auto" w:fill="auto"/>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（三）不予公开</w:t>
            </w:r>
          </w:p>
        </w:tc>
        <w:tc>
          <w:tcPr>
            <w:tcW w:w="3219" w:type="dxa"/>
            <w:tcBorders>
              <w:top w:val="nil"/>
              <w:left w:val="nil"/>
              <w:bottom w:val="single" w:color="auto" w:sz="8" w:space="0"/>
              <w:right w:val="single" w:color="auto" w:sz="8" w:space="0"/>
            </w:tcBorders>
            <w:noWrap w:val="0"/>
            <w:tcMar>
              <w:left w:w="57" w:type="dxa"/>
              <w:right w:w="57" w:type="dxa"/>
            </w:tcMar>
            <w:vAlign w:val="top"/>
          </w:tcPr>
          <w:p>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1</w:t>
            </w:r>
            <w:r>
              <w:rPr>
                <w:rFonts w:hint="eastAsia" w:ascii="宋体" w:hAnsi="宋体" w:eastAsia="宋体" w:cs="宋体"/>
                <w:color w:val="auto"/>
                <w:kern w:val="0"/>
                <w:sz w:val="20"/>
                <w:szCs w:val="20"/>
                <w:highlight w:val="none"/>
                <w:u w:val="none" w:color="auto"/>
                <w:shd w:val="clear" w:color="auto" w:fill="auto"/>
              </w:rPr>
              <w:t>.属于国家秘密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宋体" w:hAnsi="Times New Roman" w:eastAsia="仿宋_GB2312" w:cs="Times New Roman"/>
                <w:color w:val="auto"/>
                <w:sz w:val="24"/>
                <w:szCs w:val="24"/>
                <w:highlight w:val="none"/>
                <w:u w:val="none" w:color="auto"/>
                <w:shd w:val="clear" w:color="auto" w:fill="auto"/>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宋体" w:hAnsi="Times New Roman" w:eastAsia="仿宋_GB2312" w:cs="Times New Roman"/>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2</w:t>
            </w:r>
            <w:r>
              <w:rPr>
                <w:rFonts w:hint="eastAsia" w:ascii="宋体" w:hAnsi="宋体" w:eastAsia="宋体" w:cs="宋体"/>
                <w:color w:val="auto"/>
                <w:kern w:val="0"/>
                <w:sz w:val="20"/>
                <w:szCs w:val="20"/>
                <w:highlight w:val="none"/>
                <w:u w:val="none" w:color="auto"/>
                <w:shd w:val="clear" w:color="auto" w:fill="auto"/>
              </w:rPr>
              <w:t>.其他法律行政法规禁止公开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宋体" w:hAnsi="Times New Roman" w:eastAsia="仿宋_GB2312" w:cs="Times New Roman"/>
                <w:color w:val="auto"/>
                <w:sz w:val="24"/>
                <w:szCs w:val="24"/>
                <w:highlight w:val="none"/>
                <w:u w:val="none" w:color="auto"/>
                <w:shd w:val="clear" w:color="auto" w:fill="auto"/>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宋体" w:hAnsi="Times New Roman" w:eastAsia="仿宋_GB2312" w:cs="Times New Roman"/>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widowControl/>
              <w:jc w:val="left"/>
              <w:rPr>
                <w:rFonts w:hint="eastAsia" w:ascii="仿宋_GB2312" w:hAnsi="Times New Roman" w:eastAsia="宋体" w:cs="Times New Roman"/>
                <w:color w:val="auto"/>
                <w:sz w:val="32"/>
                <w:szCs w:val="32"/>
                <w:highlight w:val="none"/>
                <w:u w:val="none" w:color="auto"/>
                <w:shd w:val="clear" w:color="auto" w:fill="auto"/>
                <w:lang w:eastAsia="zh-CN"/>
              </w:rPr>
            </w:pPr>
            <w:r>
              <w:rPr>
                <w:rFonts w:hint="default" w:ascii="Times New Roman" w:hAnsi="Times New Roman" w:eastAsia="宋体" w:cs="Times New Roman"/>
                <w:color w:val="auto"/>
                <w:kern w:val="0"/>
                <w:sz w:val="20"/>
                <w:szCs w:val="20"/>
                <w:highlight w:val="none"/>
                <w:u w:val="none" w:color="auto"/>
                <w:shd w:val="clear" w:color="auto" w:fill="auto"/>
              </w:rPr>
              <w:t>3</w:t>
            </w:r>
            <w:r>
              <w:rPr>
                <w:rFonts w:hint="eastAsia" w:ascii="宋体" w:hAnsi="宋体" w:eastAsia="宋体" w:cs="宋体"/>
                <w:color w:val="auto"/>
                <w:kern w:val="0"/>
                <w:sz w:val="20"/>
                <w:szCs w:val="20"/>
                <w:highlight w:val="none"/>
                <w:u w:val="none" w:color="auto"/>
                <w:shd w:val="clear" w:color="auto" w:fill="auto"/>
              </w:rPr>
              <w:t>.危及</w:t>
            </w:r>
            <w:r>
              <w:rPr>
                <w:rFonts w:hint="eastAsia" w:ascii="宋体" w:hAnsi="宋体" w:eastAsia="宋体" w:cs="宋体"/>
                <w:color w:val="auto"/>
                <w:kern w:val="0"/>
                <w:sz w:val="20"/>
                <w:szCs w:val="20"/>
                <w:highlight w:val="none"/>
                <w:u w:val="none" w:color="auto"/>
                <w:shd w:val="clear" w:color="auto" w:fill="auto"/>
                <w:lang w:eastAsia="zh-CN"/>
              </w:rPr>
              <w:t>“</w:t>
            </w:r>
            <w:r>
              <w:rPr>
                <w:rFonts w:hint="eastAsia" w:ascii="宋体" w:hAnsi="宋体" w:eastAsia="宋体" w:cs="宋体"/>
                <w:color w:val="auto"/>
                <w:kern w:val="0"/>
                <w:sz w:val="20"/>
                <w:szCs w:val="20"/>
                <w:highlight w:val="none"/>
                <w:u w:val="none" w:color="auto"/>
                <w:shd w:val="clear" w:color="auto" w:fill="auto"/>
              </w:rPr>
              <w:t>三安全一稳定</w:t>
            </w:r>
            <w:r>
              <w:rPr>
                <w:rFonts w:hint="eastAsia" w:ascii="宋体" w:hAnsi="宋体" w:eastAsia="宋体" w:cs="宋体"/>
                <w:color w:val="auto"/>
                <w:kern w:val="0"/>
                <w:sz w:val="20"/>
                <w:szCs w:val="20"/>
                <w:highlight w:val="none"/>
                <w:u w:val="none" w:color="auto"/>
                <w:shd w:val="clear" w:color="auto" w:fill="auto"/>
                <w:lang w:eastAsia="zh-CN"/>
              </w:rPr>
              <w:t>”</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宋体" w:hAnsi="Times New Roman" w:eastAsia="仿宋_GB2312" w:cs="Times New Roman"/>
                <w:color w:val="auto"/>
                <w:sz w:val="24"/>
                <w:szCs w:val="24"/>
                <w:highlight w:val="none"/>
                <w:u w:val="none" w:color="auto"/>
                <w:shd w:val="clear" w:color="auto" w:fill="auto"/>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宋体" w:hAnsi="Times New Roman" w:eastAsia="仿宋_GB2312" w:cs="Times New Roman"/>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4</w:t>
            </w:r>
            <w:r>
              <w:rPr>
                <w:rFonts w:hint="eastAsia" w:ascii="宋体" w:hAnsi="宋体" w:eastAsia="宋体" w:cs="宋体"/>
                <w:color w:val="auto"/>
                <w:kern w:val="0"/>
                <w:sz w:val="20"/>
                <w:szCs w:val="20"/>
                <w:highlight w:val="none"/>
                <w:u w:val="none" w:color="auto"/>
                <w:shd w:val="clear" w:color="auto" w:fill="auto"/>
              </w:rPr>
              <w:t>.保护第三方合法权益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宋体" w:hAnsi="Times New Roman" w:eastAsia="仿宋_GB2312" w:cs="Times New Roman"/>
                <w:color w:val="auto"/>
                <w:sz w:val="24"/>
                <w:szCs w:val="24"/>
                <w:highlight w:val="none"/>
                <w:u w:val="none" w:color="auto"/>
                <w:shd w:val="clear" w:color="auto" w:fill="auto"/>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宋体" w:hAnsi="Times New Roman" w:eastAsia="仿宋_GB2312" w:cs="Times New Roman"/>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5</w:t>
            </w:r>
            <w:r>
              <w:rPr>
                <w:rFonts w:hint="eastAsia" w:ascii="宋体" w:hAnsi="宋体" w:eastAsia="宋体" w:cs="宋体"/>
                <w:color w:val="auto"/>
                <w:kern w:val="0"/>
                <w:sz w:val="20"/>
                <w:szCs w:val="20"/>
                <w:highlight w:val="none"/>
                <w:u w:val="none" w:color="auto"/>
                <w:shd w:val="clear" w:color="auto" w:fill="auto"/>
              </w:rPr>
              <w:t>.属于三类内部事务信息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宋体" w:hAnsi="Times New Roman" w:eastAsia="仿宋_GB2312" w:cs="Times New Roman"/>
                <w:color w:val="auto"/>
                <w:sz w:val="24"/>
                <w:szCs w:val="24"/>
                <w:highlight w:val="none"/>
                <w:u w:val="none" w:color="auto"/>
                <w:shd w:val="clear" w:color="auto" w:fill="auto"/>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宋体" w:hAnsi="Times New Roman" w:eastAsia="仿宋_GB2312" w:cs="Times New Roman"/>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6</w:t>
            </w:r>
            <w:r>
              <w:rPr>
                <w:rFonts w:hint="eastAsia" w:ascii="宋体" w:hAnsi="宋体" w:eastAsia="宋体" w:cs="宋体"/>
                <w:color w:val="auto"/>
                <w:kern w:val="0"/>
                <w:sz w:val="20"/>
                <w:szCs w:val="20"/>
                <w:highlight w:val="none"/>
                <w:u w:val="none" w:color="auto"/>
                <w:shd w:val="clear" w:color="auto" w:fill="auto"/>
              </w:rPr>
              <w:t>.属于四类过程性信息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3</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宋体" w:hAnsi="Times New Roman" w:eastAsia="仿宋_GB2312" w:cs="Times New Roman"/>
                <w:color w:val="auto"/>
                <w:sz w:val="24"/>
                <w:szCs w:val="24"/>
                <w:highlight w:val="none"/>
                <w:u w:val="none" w:color="auto"/>
                <w:shd w:val="clear" w:color="auto" w:fill="auto"/>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宋体" w:hAnsi="Times New Roman" w:eastAsia="仿宋_GB2312" w:cs="Times New Roman"/>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7</w:t>
            </w:r>
            <w:r>
              <w:rPr>
                <w:rFonts w:hint="eastAsia" w:ascii="宋体" w:hAnsi="宋体" w:eastAsia="宋体" w:cs="宋体"/>
                <w:color w:val="auto"/>
                <w:kern w:val="0"/>
                <w:sz w:val="20"/>
                <w:szCs w:val="20"/>
                <w:highlight w:val="none"/>
                <w:u w:val="none" w:color="auto"/>
                <w:shd w:val="clear" w:color="auto" w:fill="auto"/>
              </w:rPr>
              <w:t>.属于行政执法案卷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宋体" w:hAnsi="Times New Roman" w:eastAsia="仿宋_GB2312" w:cs="Times New Roman"/>
                <w:color w:val="auto"/>
                <w:sz w:val="24"/>
                <w:szCs w:val="24"/>
                <w:highlight w:val="none"/>
                <w:u w:val="none" w:color="auto"/>
                <w:shd w:val="clear" w:color="auto" w:fill="auto"/>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宋体" w:hAnsi="Times New Roman" w:eastAsia="仿宋_GB2312" w:cs="Times New Roman"/>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8</w:t>
            </w:r>
            <w:r>
              <w:rPr>
                <w:rFonts w:hint="eastAsia" w:ascii="宋体" w:hAnsi="宋体" w:eastAsia="宋体" w:cs="宋体"/>
                <w:color w:val="auto"/>
                <w:kern w:val="0"/>
                <w:sz w:val="20"/>
                <w:szCs w:val="20"/>
                <w:highlight w:val="none"/>
                <w:u w:val="none" w:color="auto"/>
                <w:shd w:val="clear" w:color="auto" w:fill="auto"/>
              </w:rPr>
              <w:t>.属于行政查询事项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宋体" w:hAnsi="Times New Roman" w:eastAsia="仿宋_GB2312" w:cs="Times New Roman"/>
                <w:color w:val="auto"/>
                <w:sz w:val="24"/>
                <w:szCs w:val="24"/>
                <w:highlight w:val="none"/>
                <w:u w:val="none" w:color="auto"/>
                <w:shd w:val="clear" w:color="auto" w:fill="auto"/>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（四）无法提供</w:t>
            </w:r>
          </w:p>
        </w:tc>
        <w:tc>
          <w:tcPr>
            <w:tcW w:w="3219" w:type="dxa"/>
            <w:tcBorders>
              <w:top w:val="nil"/>
              <w:left w:val="nil"/>
              <w:bottom w:val="single" w:color="auto" w:sz="8" w:space="0"/>
              <w:right w:val="single" w:color="auto" w:sz="8" w:space="0"/>
            </w:tcBorders>
            <w:noWrap w:val="0"/>
            <w:tcMar>
              <w:left w:w="57" w:type="dxa"/>
              <w:right w:w="57" w:type="dxa"/>
            </w:tcMar>
            <w:vAlign w:val="top"/>
          </w:tcPr>
          <w:p>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1</w:t>
            </w:r>
            <w:r>
              <w:rPr>
                <w:rFonts w:hint="eastAsia" w:ascii="宋体" w:hAnsi="宋体" w:eastAsia="宋体" w:cs="宋体"/>
                <w:color w:val="auto"/>
                <w:kern w:val="0"/>
                <w:sz w:val="20"/>
                <w:szCs w:val="20"/>
                <w:highlight w:val="none"/>
                <w:u w:val="none" w:color="auto"/>
                <w:shd w:val="clear" w:color="auto" w:fill="auto"/>
              </w:rPr>
              <w:t>.本机关不掌握相关政府信息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13</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13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宋体" w:hAnsi="Times New Roman" w:eastAsia="仿宋_GB2312" w:cs="Times New Roman"/>
                <w:color w:val="auto"/>
                <w:sz w:val="24"/>
                <w:szCs w:val="24"/>
                <w:highlight w:val="none"/>
                <w:u w:val="none" w:color="auto"/>
                <w:shd w:val="clear" w:color="auto" w:fill="auto"/>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宋体" w:hAnsi="Times New Roman" w:eastAsia="仿宋_GB2312" w:cs="Times New Roman"/>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2</w:t>
            </w:r>
            <w:r>
              <w:rPr>
                <w:rFonts w:hint="eastAsia" w:ascii="宋体" w:hAnsi="宋体" w:eastAsia="宋体" w:cs="宋体"/>
                <w:color w:val="auto"/>
                <w:kern w:val="0"/>
                <w:sz w:val="20"/>
                <w:szCs w:val="20"/>
                <w:highlight w:val="none"/>
                <w:u w:val="none" w:color="auto"/>
                <w:shd w:val="clear" w:color="auto" w:fill="auto"/>
              </w:rPr>
              <w:t>.没有现成信息需要另行制作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宋体" w:hAnsi="Times New Roman" w:eastAsia="仿宋_GB2312" w:cs="Times New Roman"/>
                <w:color w:val="auto"/>
                <w:sz w:val="24"/>
                <w:szCs w:val="24"/>
                <w:highlight w:val="none"/>
                <w:u w:val="none" w:color="auto"/>
                <w:shd w:val="clear" w:color="auto" w:fill="auto"/>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宋体" w:hAnsi="Times New Roman" w:eastAsia="仿宋_GB2312" w:cs="Times New Roman"/>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3</w:t>
            </w:r>
            <w:r>
              <w:rPr>
                <w:rFonts w:hint="eastAsia" w:ascii="宋体" w:hAnsi="宋体" w:eastAsia="宋体" w:cs="宋体"/>
                <w:color w:val="auto"/>
                <w:kern w:val="0"/>
                <w:sz w:val="20"/>
                <w:szCs w:val="20"/>
                <w:highlight w:val="none"/>
                <w:u w:val="none" w:color="auto"/>
                <w:shd w:val="clear" w:color="auto" w:fill="auto"/>
              </w:rPr>
              <w:t>.补正后申请内容仍不明确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宋体" w:hAnsi="Times New Roman" w:eastAsia="仿宋_GB2312" w:cs="Times New Roman"/>
                <w:color w:val="auto"/>
                <w:sz w:val="24"/>
                <w:szCs w:val="24"/>
                <w:highlight w:val="none"/>
                <w:u w:val="none" w:color="auto"/>
                <w:shd w:val="clear" w:color="auto" w:fill="auto"/>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（五）不予处理</w:t>
            </w:r>
          </w:p>
        </w:tc>
        <w:tc>
          <w:tcPr>
            <w:tcW w:w="3219" w:type="dxa"/>
            <w:tcBorders>
              <w:top w:val="nil"/>
              <w:left w:val="nil"/>
              <w:bottom w:val="single" w:color="auto" w:sz="8" w:space="0"/>
              <w:right w:val="single" w:color="auto" w:sz="8" w:space="0"/>
            </w:tcBorders>
            <w:noWrap w:val="0"/>
            <w:tcMar>
              <w:left w:w="57" w:type="dxa"/>
              <w:right w:w="57" w:type="dxa"/>
            </w:tcMar>
            <w:vAlign w:val="top"/>
          </w:tcPr>
          <w:p>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1</w:t>
            </w:r>
            <w:r>
              <w:rPr>
                <w:rFonts w:hint="eastAsia" w:ascii="宋体" w:hAnsi="宋体" w:eastAsia="宋体" w:cs="宋体"/>
                <w:color w:val="auto"/>
                <w:kern w:val="0"/>
                <w:sz w:val="20"/>
                <w:szCs w:val="20"/>
                <w:highlight w:val="none"/>
                <w:u w:val="none" w:color="auto"/>
                <w:shd w:val="clear" w:color="auto" w:fill="auto"/>
              </w:rPr>
              <w:t>.信访举报投诉类申请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宋体" w:hAnsi="Times New Roman" w:eastAsia="仿宋_GB2312" w:cs="Times New Roman"/>
                <w:color w:val="auto"/>
                <w:sz w:val="24"/>
                <w:szCs w:val="24"/>
                <w:highlight w:val="none"/>
                <w:u w:val="none" w:color="auto"/>
                <w:shd w:val="clear" w:color="auto" w:fill="auto"/>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宋体" w:hAnsi="Times New Roman" w:eastAsia="仿宋_GB2312" w:cs="Times New Roman"/>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2</w:t>
            </w:r>
            <w:r>
              <w:rPr>
                <w:rFonts w:hint="eastAsia" w:ascii="宋体" w:hAnsi="宋体" w:eastAsia="宋体" w:cs="宋体"/>
                <w:color w:val="auto"/>
                <w:kern w:val="0"/>
                <w:sz w:val="20"/>
                <w:szCs w:val="20"/>
                <w:highlight w:val="none"/>
                <w:u w:val="none" w:color="auto"/>
                <w:shd w:val="clear" w:color="auto" w:fill="auto"/>
              </w:rPr>
              <w:t>.重复申请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宋体" w:hAnsi="Times New Roman" w:eastAsia="仿宋_GB2312" w:cs="Times New Roman"/>
                <w:color w:val="auto"/>
                <w:sz w:val="24"/>
                <w:szCs w:val="24"/>
                <w:highlight w:val="none"/>
                <w:u w:val="none" w:color="auto"/>
                <w:shd w:val="clear" w:color="auto" w:fill="auto"/>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宋体" w:hAnsi="Times New Roman" w:eastAsia="仿宋_GB2312" w:cs="Times New Roman"/>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3</w:t>
            </w:r>
            <w:r>
              <w:rPr>
                <w:rFonts w:hint="eastAsia" w:ascii="宋体" w:hAnsi="宋体" w:eastAsia="宋体" w:cs="宋体"/>
                <w:color w:val="auto"/>
                <w:kern w:val="0"/>
                <w:sz w:val="20"/>
                <w:szCs w:val="20"/>
                <w:highlight w:val="none"/>
                <w:u w:val="none" w:color="auto"/>
                <w:shd w:val="clear" w:color="auto" w:fill="auto"/>
              </w:rPr>
              <w:t>.要求提供公开出版物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宋体" w:hAnsi="Times New Roman" w:eastAsia="仿宋_GB2312" w:cs="Times New Roman"/>
                <w:color w:val="auto"/>
                <w:sz w:val="24"/>
                <w:szCs w:val="24"/>
                <w:highlight w:val="none"/>
                <w:u w:val="none" w:color="auto"/>
                <w:shd w:val="clear" w:color="auto" w:fill="auto"/>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宋体" w:hAnsi="Times New Roman" w:eastAsia="仿宋_GB2312" w:cs="Times New Roman"/>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4</w:t>
            </w:r>
            <w:r>
              <w:rPr>
                <w:rFonts w:hint="eastAsia" w:ascii="宋体" w:hAnsi="宋体" w:eastAsia="宋体" w:cs="宋体"/>
                <w:color w:val="auto"/>
                <w:kern w:val="0"/>
                <w:sz w:val="20"/>
                <w:szCs w:val="20"/>
                <w:highlight w:val="none"/>
                <w:u w:val="none" w:color="auto"/>
                <w:shd w:val="clear" w:color="auto" w:fill="auto"/>
              </w:rPr>
              <w:t>.无正当理由大量反复申请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宋体" w:hAnsi="Times New Roman" w:eastAsia="仿宋_GB2312" w:cs="Times New Roman"/>
                <w:color w:val="auto"/>
                <w:sz w:val="24"/>
                <w:szCs w:val="24"/>
                <w:highlight w:val="none"/>
                <w:u w:val="none" w:color="auto"/>
                <w:shd w:val="clear" w:color="auto" w:fill="auto"/>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宋体" w:hAnsi="Times New Roman" w:eastAsia="仿宋_GB2312" w:cs="Times New Roman"/>
                <w:color w:val="auto"/>
                <w:sz w:val="24"/>
                <w:szCs w:val="24"/>
                <w:highlight w:val="none"/>
                <w:u w:val="none" w:color="auto"/>
                <w:shd w:val="clear" w:color="auto" w:fill="auto"/>
              </w:rPr>
            </w:pPr>
          </w:p>
        </w:tc>
        <w:tc>
          <w:tcPr>
            <w:tcW w:w="3219" w:type="dxa"/>
            <w:tcBorders>
              <w:top w:val="nil"/>
              <w:left w:val="nil"/>
              <w:bottom w:val="outset" w:color="auto" w:sz="8" w:space="0"/>
              <w:right w:val="single" w:color="auto" w:sz="8" w:space="0"/>
            </w:tcBorders>
            <w:noWrap w:val="0"/>
            <w:tcMar>
              <w:left w:w="57" w:type="dxa"/>
              <w:right w:w="57" w:type="dxa"/>
            </w:tcMar>
            <w:vAlign w:val="center"/>
          </w:tcPr>
          <w:p>
            <w:pPr>
              <w:widowControl/>
              <w:rPr>
                <w:rFonts w:ascii="仿宋_GB2312" w:hAnsi="Times New Roman" w:eastAsia="仿宋_GB2312" w:cs="Times New Roman"/>
                <w:color w:val="auto"/>
                <w:sz w:val="32"/>
                <w:szCs w:val="32"/>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5</w:t>
            </w:r>
            <w:r>
              <w:rPr>
                <w:rFonts w:hint="eastAsia" w:ascii="宋体" w:hAnsi="宋体" w:eastAsia="宋体" w:cs="宋体"/>
                <w:color w:val="auto"/>
                <w:kern w:val="0"/>
                <w:sz w:val="20"/>
                <w:szCs w:val="20"/>
                <w:highlight w:val="none"/>
                <w:u w:val="none" w:color="auto"/>
                <w:shd w:val="clear" w:color="auto" w:fill="auto"/>
              </w:rPr>
              <w:t>.要求行政机关确认或重新出具已获取信息</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宋体" w:hAnsi="Times New Roman" w:eastAsia="仿宋_GB2312" w:cs="Times New Roman"/>
                <w:color w:val="auto"/>
                <w:sz w:val="24"/>
                <w:szCs w:val="24"/>
                <w:highlight w:val="none"/>
                <w:u w:val="none" w:color="auto"/>
                <w:shd w:val="clear" w:color="auto" w:fill="auto"/>
              </w:rPr>
            </w:pPr>
          </w:p>
        </w:tc>
        <w:tc>
          <w:tcPr>
            <w:tcW w:w="943" w:type="dxa"/>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（六）其他处理</w:t>
            </w:r>
          </w:p>
        </w:tc>
        <w:tc>
          <w:tcPr>
            <w:tcW w:w="3219" w:type="dxa"/>
            <w:tcBorders>
              <w:top w:val="nil"/>
              <w:left w:val="nil"/>
              <w:bottom w:val="single" w:color="auto" w:sz="8" w:space="0"/>
              <w:right w:val="single" w:color="auto" w:sz="8" w:space="0"/>
            </w:tcBorders>
            <w:noWrap w:val="0"/>
            <w:tcMar>
              <w:left w:w="57" w:type="dxa"/>
              <w:right w:w="57" w:type="dxa"/>
            </w:tcMar>
            <w:vAlign w:val="center"/>
          </w:tcPr>
          <w:p>
            <w:pPr>
              <w:widowControl/>
              <w:rPr>
                <w:rFonts w:ascii="仿宋_GB2312" w:hAnsi="Times New Roman" w:eastAsia="仿宋_GB2312" w:cs="Times New Roman"/>
                <w:color w:val="auto"/>
                <w:sz w:val="32"/>
                <w:szCs w:val="32"/>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1</w:t>
            </w:r>
            <w:r>
              <w:rPr>
                <w:rFonts w:hint="eastAsia" w:ascii="宋体" w:hAnsi="宋体" w:eastAsia="宋体" w:cs="宋体"/>
                <w:color w:val="auto"/>
                <w:kern w:val="0"/>
                <w:sz w:val="20"/>
                <w:szCs w:val="20"/>
                <w:highlight w:val="none"/>
                <w:u w:val="none" w:color="auto"/>
                <w:shd w:val="clear" w:color="auto" w:fill="auto"/>
              </w:rPr>
              <w:t>.申请人无正当理由逾期不补正、行政机关不再处理其政府信息公开申请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宋体" w:hAnsi="Times New Roman" w:eastAsia="仿宋_GB2312" w:cs="Times New Roman"/>
                <w:color w:val="auto"/>
                <w:sz w:val="24"/>
                <w:szCs w:val="24"/>
                <w:highlight w:val="none"/>
                <w:u w:val="none" w:color="auto"/>
                <w:shd w:val="clear" w:color="auto" w:fill="auto"/>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rPr>
                <w:rFonts w:hint="default" w:ascii="宋体" w:hAnsi="Times New Roman" w:eastAsia="仿宋_GB2312" w:cs="Times New Roman"/>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noWrap w:val="0"/>
            <w:tcMar>
              <w:left w:w="57" w:type="dxa"/>
              <w:right w:w="57" w:type="dxa"/>
            </w:tcMar>
            <w:vAlign w:val="center"/>
          </w:tcPr>
          <w:p>
            <w:pPr>
              <w:widowControl/>
              <w:rPr>
                <w:rFonts w:ascii="仿宋_GB2312" w:hAnsi="Times New Roman" w:eastAsia="仿宋_GB2312" w:cs="Times New Roman"/>
                <w:color w:val="auto"/>
                <w:sz w:val="32"/>
                <w:szCs w:val="32"/>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2</w:t>
            </w:r>
            <w:r>
              <w:rPr>
                <w:rFonts w:hint="eastAsia" w:ascii="宋体" w:hAnsi="宋体" w:eastAsia="宋体" w:cs="宋体"/>
                <w:color w:val="auto"/>
                <w:kern w:val="0"/>
                <w:sz w:val="20"/>
                <w:szCs w:val="20"/>
                <w:highlight w:val="none"/>
                <w:u w:val="none" w:color="auto"/>
                <w:shd w:val="clear" w:color="auto" w:fill="auto"/>
              </w:rPr>
              <w:t>.申请人逾期未按收费通知要求缴纳费用、行政机关不再处理其政府信息公开申请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宋体" w:hAnsi="Times New Roman" w:eastAsia="仿宋_GB2312" w:cs="Times New Roman"/>
                <w:color w:val="auto"/>
                <w:sz w:val="24"/>
                <w:szCs w:val="24"/>
                <w:highlight w:val="none"/>
                <w:u w:val="none" w:color="auto"/>
                <w:shd w:val="clear" w:color="auto" w:fill="auto"/>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rPr>
                <w:rFonts w:hint="default" w:ascii="宋体" w:hAnsi="Times New Roman" w:eastAsia="仿宋_GB2312" w:cs="Times New Roman"/>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noWrap w:val="0"/>
            <w:tcMar>
              <w:left w:w="57" w:type="dxa"/>
              <w:right w:w="57" w:type="dxa"/>
            </w:tcMar>
            <w:vAlign w:val="center"/>
          </w:tcPr>
          <w:p>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3</w:t>
            </w:r>
            <w:r>
              <w:rPr>
                <w:rFonts w:hint="eastAsia" w:ascii="宋体" w:hAnsi="宋体" w:eastAsia="宋体" w:cs="宋体"/>
                <w:color w:val="auto"/>
                <w:kern w:val="0"/>
                <w:sz w:val="20"/>
                <w:szCs w:val="20"/>
                <w:highlight w:val="none"/>
                <w:u w:val="none" w:color="auto"/>
                <w:shd w:val="clear" w:color="auto" w:fill="auto"/>
              </w:rPr>
              <w:t>.其他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宋体" w:hAnsi="Times New Roman" w:eastAsia="仿宋_GB2312" w:cs="Times New Roman"/>
                <w:color w:val="auto"/>
                <w:sz w:val="24"/>
                <w:szCs w:val="24"/>
                <w:highlight w:val="none"/>
                <w:u w:val="none" w:color="auto"/>
                <w:shd w:val="clear" w:color="auto" w:fill="auto"/>
              </w:rPr>
            </w:pPr>
          </w:p>
        </w:tc>
        <w:tc>
          <w:tcPr>
            <w:tcW w:w="4162" w:type="dxa"/>
            <w:gridSpan w:val="2"/>
            <w:tcBorders>
              <w:top w:val="nil"/>
              <w:left w:val="nil"/>
              <w:bottom w:val="single" w:color="auto" w:sz="8" w:space="0"/>
              <w:right w:val="single" w:color="auto" w:sz="8" w:space="0"/>
            </w:tcBorders>
            <w:noWrap w:val="0"/>
            <w:tcMar>
              <w:left w:w="57" w:type="dxa"/>
              <w:right w:w="57" w:type="dxa"/>
            </w:tcMar>
            <w:vAlign w:val="center"/>
          </w:tcPr>
          <w:p>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50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50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四、结转下年度继续办理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11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ind w:firstLine="200" w:firstLineChars="100"/>
              <w:rPr>
                <w:rFonts w:hint="default" w:ascii="宋体" w:hAnsi="Times New Roman" w:eastAsia="仿宋_GB2312" w:cs="Times New Roman"/>
                <w:color w:val="auto"/>
                <w:sz w:val="24"/>
                <w:szCs w:val="24"/>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11</w:t>
            </w:r>
          </w:p>
        </w:tc>
      </w:tr>
    </w:tbl>
    <w:p>
      <w:pPr>
        <w:widowControl/>
        <w:shd w:val="clear" w:color="auto" w:fill="FFFFFF"/>
        <w:jc w:val="center"/>
        <w:rPr>
          <w:rFonts w:hint="default" w:ascii="宋体" w:hAnsi="宋体" w:eastAsia="宋体" w:cs="宋体"/>
          <w:color w:val="auto"/>
          <w:sz w:val="24"/>
          <w:szCs w:val="24"/>
          <w:highlight w:val="none"/>
          <w:u w:val="none" w:color="auto"/>
          <w:shd w:val="clear" w:color="auto" w:fill="auto"/>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default" w:ascii="黑体" w:hAnsi="黑体" w:eastAsia="黑体" w:cs="黑体"/>
          <w:b w:val="0"/>
          <w:bCs/>
          <w:color w:val="auto"/>
          <w:sz w:val="32"/>
          <w:szCs w:val="32"/>
          <w:highlight w:val="none"/>
          <w:u w:val="none" w:color="auto"/>
          <w:shd w:val="clear" w:color="auto" w:fill="auto"/>
        </w:rPr>
      </w:pPr>
      <w:r>
        <w:rPr>
          <w:rFonts w:hint="eastAsia" w:ascii="黑体" w:hAnsi="黑体" w:eastAsia="黑体" w:cs="黑体"/>
          <w:b w:val="0"/>
          <w:bCs/>
          <w:color w:val="auto"/>
          <w:sz w:val="32"/>
          <w:szCs w:val="32"/>
          <w:highlight w:val="none"/>
          <w:u w:val="none" w:color="auto"/>
          <w:shd w:val="clear" w:color="auto" w:fill="auto"/>
        </w:rPr>
        <w:t>四、政府信息公开行政复议、行政诉讼情况</w:t>
      </w:r>
    </w:p>
    <w:p>
      <w:pPr>
        <w:widowControl/>
        <w:shd w:val="clear" w:color="auto" w:fill="FFFFFF"/>
        <w:jc w:val="center"/>
        <w:rPr>
          <w:rFonts w:hint="default" w:ascii="宋体" w:hAnsi="宋体" w:eastAsia="宋体" w:cs="宋体"/>
          <w:color w:val="auto"/>
          <w:sz w:val="24"/>
          <w:szCs w:val="24"/>
          <w:highlight w:val="none"/>
          <w:u w:val="none" w:color="auto"/>
          <w:shd w:val="clear" w:color="auto" w:fill="auto"/>
        </w:rPr>
      </w:pPr>
    </w:p>
    <w:tbl>
      <w:tblPr>
        <w:tblStyle w:val="3"/>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0"/>
        <w:gridCol w:w="650"/>
        <w:gridCol w:w="650"/>
        <w:gridCol w:w="650"/>
        <w:gridCol w:w="65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行政复议</w:t>
            </w:r>
          </w:p>
        </w:tc>
        <w:tc>
          <w:tcPr>
            <w:tcW w:w="6498"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结果维持</w:t>
            </w:r>
          </w:p>
        </w:tc>
        <w:tc>
          <w:tcPr>
            <w:tcW w:w="64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结果</w:t>
            </w:r>
            <w:r>
              <w:rPr>
                <w:rFonts w:hint="eastAsia" w:ascii="宋体" w:hAnsi="宋体" w:eastAsia="宋体" w:cs="宋体"/>
                <w:color w:val="auto"/>
                <w:kern w:val="0"/>
                <w:sz w:val="20"/>
                <w:szCs w:val="20"/>
                <w:highlight w:val="none"/>
                <w:u w:val="none" w:color="auto"/>
                <w:shd w:val="clear" w:color="auto" w:fill="auto"/>
              </w:rPr>
              <w:br w:type="textWrapping"/>
            </w:r>
            <w:r>
              <w:rPr>
                <w:rFonts w:hint="eastAsia" w:ascii="宋体" w:hAnsi="宋体" w:eastAsia="宋体" w:cs="宋体"/>
                <w:color w:val="auto"/>
                <w:kern w:val="0"/>
                <w:sz w:val="20"/>
                <w:szCs w:val="20"/>
                <w:highlight w:val="none"/>
                <w:u w:val="none" w:color="auto"/>
                <w:shd w:val="clear" w:color="auto" w:fill="auto"/>
              </w:rPr>
              <w:t>纠正</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其他</w:t>
            </w:r>
            <w:r>
              <w:rPr>
                <w:rFonts w:hint="eastAsia" w:ascii="宋体" w:hAnsi="宋体" w:eastAsia="宋体" w:cs="宋体"/>
                <w:color w:val="auto"/>
                <w:kern w:val="0"/>
                <w:sz w:val="20"/>
                <w:szCs w:val="20"/>
                <w:highlight w:val="none"/>
                <w:u w:val="none" w:color="auto"/>
                <w:shd w:val="clear" w:color="auto" w:fill="auto"/>
              </w:rPr>
              <w:br w:type="textWrapping"/>
            </w:r>
            <w:r>
              <w:rPr>
                <w:rFonts w:hint="eastAsia" w:ascii="宋体" w:hAnsi="宋体" w:eastAsia="宋体" w:cs="宋体"/>
                <w:color w:val="auto"/>
                <w:kern w:val="0"/>
                <w:sz w:val="20"/>
                <w:szCs w:val="20"/>
                <w:highlight w:val="none"/>
                <w:u w:val="none" w:color="auto"/>
                <w:shd w:val="clear" w:color="auto" w:fill="auto"/>
              </w:rPr>
              <w:t>结果</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尚未</w:t>
            </w:r>
            <w:r>
              <w:rPr>
                <w:rFonts w:hint="eastAsia" w:ascii="宋体" w:hAnsi="宋体" w:eastAsia="宋体" w:cs="宋体"/>
                <w:color w:val="auto"/>
                <w:kern w:val="0"/>
                <w:sz w:val="20"/>
                <w:szCs w:val="20"/>
                <w:highlight w:val="none"/>
                <w:u w:val="none" w:color="auto"/>
                <w:shd w:val="clear" w:color="auto" w:fill="auto"/>
              </w:rPr>
              <w:br w:type="textWrapping"/>
            </w:r>
            <w:r>
              <w:rPr>
                <w:rFonts w:hint="eastAsia" w:ascii="宋体" w:hAnsi="宋体" w:eastAsia="宋体" w:cs="宋体"/>
                <w:color w:val="auto"/>
                <w:kern w:val="0"/>
                <w:sz w:val="20"/>
                <w:szCs w:val="20"/>
                <w:highlight w:val="none"/>
                <w:u w:val="none" w:color="auto"/>
                <w:shd w:val="clear" w:color="auto" w:fill="auto"/>
              </w:rPr>
              <w:t>审结</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总计</w:t>
            </w:r>
          </w:p>
        </w:tc>
        <w:tc>
          <w:tcPr>
            <w:tcW w:w="324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default" w:ascii="宋体" w:hAnsi="Times New Roman" w:eastAsia="仿宋_GB2312" w:cs="Times New Roman"/>
                <w:color w:val="auto"/>
                <w:sz w:val="24"/>
                <w:szCs w:val="24"/>
                <w:highlight w:val="none"/>
                <w:u w:val="none" w:color="auto"/>
                <w:shd w:val="clear" w:color="auto" w:fill="auto"/>
              </w:rPr>
            </w:pPr>
          </w:p>
        </w:tc>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default" w:ascii="宋体" w:hAnsi="Times New Roman" w:eastAsia="仿宋_GB2312" w:cs="Times New Roman"/>
                <w:color w:val="auto"/>
                <w:sz w:val="24"/>
                <w:szCs w:val="24"/>
                <w:highlight w:val="none"/>
                <w:u w:val="none" w:color="auto"/>
                <w:shd w:val="clear" w:color="auto" w:fill="auto"/>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default" w:ascii="宋体" w:hAnsi="Times New Roman" w:eastAsia="仿宋_GB2312" w:cs="Times New Roman"/>
                <w:color w:val="auto"/>
                <w:sz w:val="24"/>
                <w:szCs w:val="24"/>
                <w:highlight w:val="none"/>
                <w:u w:val="none" w:color="auto"/>
                <w:shd w:val="clear" w:color="auto" w:fill="auto"/>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default" w:ascii="宋体" w:hAnsi="Times New Roman" w:eastAsia="仿宋_GB2312" w:cs="Times New Roman"/>
                <w:color w:val="auto"/>
                <w:sz w:val="24"/>
                <w:szCs w:val="24"/>
                <w:highlight w:val="none"/>
                <w:u w:val="none" w:color="auto"/>
                <w:shd w:val="clear" w:color="auto" w:fill="auto"/>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default" w:ascii="宋体" w:hAnsi="Times New Roman" w:eastAsia="仿宋_GB2312" w:cs="Times New Roman"/>
                <w:color w:val="auto"/>
                <w:sz w:val="24"/>
                <w:szCs w:val="24"/>
                <w:highlight w:val="none"/>
                <w:u w:val="none" w:color="auto"/>
                <w:shd w:val="clear" w:color="auto" w:fill="auto"/>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结果</w:t>
            </w:r>
            <w:r>
              <w:rPr>
                <w:rFonts w:hint="eastAsia" w:ascii="宋体" w:hAnsi="宋体" w:eastAsia="宋体" w:cs="宋体"/>
                <w:color w:val="auto"/>
                <w:kern w:val="0"/>
                <w:sz w:val="20"/>
                <w:szCs w:val="20"/>
                <w:highlight w:val="none"/>
                <w:u w:val="none" w:color="auto"/>
                <w:shd w:val="clear" w:color="auto" w:fill="auto"/>
              </w:rPr>
              <w:br w:type="textWrapping"/>
            </w:r>
            <w:r>
              <w:rPr>
                <w:rFonts w:hint="eastAsia" w:ascii="宋体" w:hAnsi="宋体" w:eastAsia="宋体" w:cs="宋体"/>
                <w:color w:val="auto"/>
                <w:kern w:val="0"/>
                <w:sz w:val="20"/>
                <w:szCs w:val="20"/>
                <w:highlight w:val="none"/>
                <w:u w:val="none" w:color="auto"/>
                <w:shd w:val="clear" w:color="auto" w:fill="auto"/>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结果</w:t>
            </w:r>
            <w:r>
              <w:rPr>
                <w:rFonts w:hint="eastAsia" w:ascii="宋体" w:hAnsi="宋体" w:eastAsia="宋体" w:cs="宋体"/>
                <w:color w:val="auto"/>
                <w:kern w:val="0"/>
                <w:sz w:val="20"/>
                <w:szCs w:val="20"/>
                <w:highlight w:val="none"/>
                <w:u w:val="none" w:color="auto"/>
                <w:shd w:val="clear" w:color="auto" w:fill="auto"/>
              </w:rPr>
              <w:br w:type="textWrapping"/>
            </w:r>
            <w:r>
              <w:rPr>
                <w:rFonts w:hint="eastAsia" w:ascii="宋体" w:hAnsi="宋体" w:eastAsia="宋体" w:cs="宋体"/>
                <w:color w:val="auto"/>
                <w:kern w:val="0"/>
                <w:sz w:val="20"/>
                <w:szCs w:val="20"/>
                <w:highlight w:val="none"/>
                <w:u w:val="none" w:color="auto"/>
                <w:shd w:val="clear" w:color="auto" w:fill="auto"/>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其他</w:t>
            </w:r>
            <w:r>
              <w:rPr>
                <w:rFonts w:hint="eastAsia" w:ascii="宋体" w:hAnsi="宋体" w:eastAsia="宋体" w:cs="宋体"/>
                <w:color w:val="auto"/>
                <w:kern w:val="0"/>
                <w:sz w:val="20"/>
                <w:szCs w:val="20"/>
                <w:highlight w:val="none"/>
                <w:u w:val="none" w:color="auto"/>
                <w:shd w:val="clear" w:color="auto" w:fill="auto"/>
              </w:rPr>
              <w:br w:type="textWrapping"/>
            </w:r>
            <w:r>
              <w:rPr>
                <w:rFonts w:hint="eastAsia" w:ascii="宋体" w:hAnsi="宋体" w:eastAsia="宋体" w:cs="宋体"/>
                <w:color w:val="auto"/>
                <w:kern w:val="0"/>
                <w:sz w:val="20"/>
                <w:szCs w:val="20"/>
                <w:highlight w:val="none"/>
                <w:u w:val="none" w:color="auto"/>
                <w:shd w:val="clear" w:color="auto" w:fill="auto"/>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尚未</w:t>
            </w:r>
            <w:r>
              <w:rPr>
                <w:rFonts w:hint="eastAsia" w:ascii="宋体" w:hAnsi="宋体" w:eastAsia="宋体" w:cs="宋体"/>
                <w:color w:val="auto"/>
                <w:kern w:val="0"/>
                <w:sz w:val="20"/>
                <w:szCs w:val="20"/>
                <w:highlight w:val="none"/>
                <w:u w:val="none" w:color="auto"/>
                <w:shd w:val="clear" w:color="auto" w:fill="auto"/>
              </w:rPr>
              <w:br w:type="textWrapping"/>
            </w:r>
            <w:r>
              <w:rPr>
                <w:rFonts w:hint="eastAsia" w:ascii="宋体" w:hAnsi="宋体" w:eastAsia="宋体" w:cs="宋体"/>
                <w:color w:val="auto"/>
                <w:kern w:val="0"/>
                <w:sz w:val="20"/>
                <w:szCs w:val="20"/>
                <w:highlight w:val="none"/>
                <w:u w:val="none" w:color="auto"/>
                <w:shd w:val="clear" w:color="auto" w:fill="auto"/>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总计</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结果</w:t>
            </w:r>
            <w:r>
              <w:rPr>
                <w:rFonts w:hint="eastAsia" w:ascii="宋体" w:hAnsi="宋体" w:eastAsia="宋体" w:cs="宋体"/>
                <w:color w:val="auto"/>
                <w:kern w:val="0"/>
                <w:sz w:val="20"/>
                <w:szCs w:val="20"/>
                <w:highlight w:val="none"/>
                <w:u w:val="none" w:color="auto"/>
                <w:shd w:val="clear" w:color="auto" w:fill="auto"/>
              </w:rPr>
              <w:br w:type="textWrapping"/>
            </w:r>
            <w:r>
              <w:rPr>
                <w:rFonts w:hint="eastAsia" w:ascii="宋体" w:hAnsi="宋体" w:eastAsia="宋体" w:cs="宋体"/>
                <w:color w:val="auto"/>
                <w:kern w:val="0"/>
                <w:sz w:val="20"/>
                <w:szCs w:val="20"/>
                <w:highlight w:val="none"/>
                <w:u w:val="none" w:color="auto"/>
                <w:shd w:val="clear" w:color="auto" w:fill="auto"/>
              </w:rPr>
              <w:t>维持</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结果</w:t>
            </w:r>
            <w:r>
              <w:rPr>
                <w:rFonts w:hint="eastAsia" w:ascii="宋体" w:hAnsi="宋体" w:eastAsia="宋体" w:cs="宋体"/>
                <w:color w:val="auto"/>
                <w:kern w:val="0"/>
                <w:sz w:val="20"/>
                <w:szCs w:val="20"/>
                <w:highlight w:val="none"/>
                <w:u w:val="none" w:color="auto"/>
                <w:shd w:val="clear" w:color="auto" w:fill="auto"/>
              </w:rPr>
              <w:br w:type="textWrapping"/>
            </w:r>
            <w:r>
              <w:rPr>
                <w:rFonts w:hint="eastAsia" w:ascii="宋体" w:hAnsi="宋体" w:eastAsia="宋体" w:cs="宋体"/>
                <w:color w:val="auto"/>
                <w:kern w:val="0"/>
                <w:sz w:val="20"/>
                <w:szCs w:val="20"/>
                <w:highlight w:val="none"/>
                <w:u w:val="none" w:color="auto"/>
                <w:shd w:val="clear" w:color="auto" w:fill="auto"/>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其他</w:t>
            </w:r>
            <w:r>
              <w:rPr>
                <w:rFonts w:hint="eastAsia" w:ascii="宋体" w:hAnsi="宋体" w:eastAsia="宋体" w:cs="宋体"/>
                <w:color w:val="auto"/>
                <w:kern w:val="0"/>
                <w:sz w:val="20"/>
                <w:szCs w:val="20"/>
                <w:highlight w:val="none"/>
                <w:u w:val="none" w:color="auto"/>
                <w:shd w:val="clear" w:color="auto" w:fill="auto"/>
              </w:rPr>
              <w:br w:type="textWrapping"/>
            </w:r>
            <w:r>
              <w:rPr>
                <w:rFonts w:hint="eastAsia" w:ascii="宋体" w:hAnsi="宋体" w:eastAsia="宋体" w:cs="宋体"/>
                <w:color w:val="auto"/>
                <w:kern w:val="0"/>
                <w:sz w:val="20"/>
                <w:szCs w:val="20"/>
                <w:highlight w:val="none"/>
                <w:u w:val="none" w:color="auto"/>
                <w:shd w:val="clear" w:color="auto" w:fill="auto"/>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尚未</w:t>
            </w:r>
            <w:r>
              <w:rPr>
                <w:rFonts w:hint="eastAsia" w:ascii="宋体" w:hAnsi="宋体" w:eastAsia="宋体" w:cs="宋体"/>
                <w:color w:val="auto"/>
                <w:kern w:val="0"/>
                <w:sz w:val="20"/>
                <w:szCs w:val="20"/>
                <w:highlight w:val="none"/>
                <w:u w:val="none" w:color="auto"/>
                <w:shd w:val="clear" w:color="auto" w:fill="auto"/>
              </w:rPr>
              <w:br w:type="textWrapping"/>
            </w:r>
            <w:r>
              <w:rPr>
                <w:rFonts w:hint="eastAsia" w:ascii="宋体" w:hAnsi="宋体" w:eastAsia="宋体" w:cs="宋体"/>
                <w:color w:val="auto"/>
                <w:kern w:val="0"/>
                <w:sz w:val="20"/>
                <w:szCs w:val="20"/>
                <w:highlight w:val="none"/>
                <w:u w:val="none" w:color="auto"/>
                <w:shd w:val="clear" w:color="auto" w:fill="auto"/>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12" w:hRule="atLeast"/>
          <w:jc w:val="center"/>
        </w:trPr>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黑体" w:hAnsi="宋体" w:eastAsia="黑体" w:cs="黑体"/>
                <w:color w:val="auto"/>
                <w:kern w:val="0"/>
                <w:sz w:val="20"/>
                <w:szCs w:val="20"/>
                <w:highlight w:val="none"/>
                <w:u w:val="none" w:color="auto"/>
                <w:shd w:val="clear" w:color="auto" w:fill="auto"/>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黑体" w:hAnsi="宋体" w:eastAsia="黑体" w:cs="黑体"/>
                <w:color w:val="auto"/>
                <w:kern w:val="0"/>
                <w:sz w:val="20"/>
                <w:szCs w:val="20"/>
                <w:highlight w:val="none"/>
                <w:u w:val="none" w:color="auto"/>
                <w:shd w:val="clear" w:color="auto" w:fill="auto"/>
                <w:lang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黑体" w:hAnsi="宋体" w:eastAsia="黑体" w:cs="黑体"/>
                <w:color w:val="auto"/>
                <w:kern w:val="0"/>
                <w:sz w:val="20"/>
                <w:szCs w:val="20"/>
                <w:highlight w:val="none"/>
                <w:u w:val="none" w:color="auto"/>
                <w:shd w:val="clear" w:color="auto" w:fill="auto"/>
                <w:lang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黑体" w:hAnsi="宋体" w:eastAsia="黑体" w:cs="黑体"/>
                <w:color w:val="auto"/>
                <w:kern w:val="0"/>
                <w:sz w:val="20"/>
                <w:szCs w:val="20"/>
                <w:highlight w:val="none"/>
                <w:u w:val="none" w:color="auto"/>
                <w:shd w:val="clear" w:color="auto" w:fill="auto"/>
                <w:lang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黑体" w:hAnsi="宋体" w:eastAsia="黑体" w:cs="黑体"/>
                <w:color w:val="auto"/>
                <w:kern w:val="0"/>
                <w:sz w:val="20"/>
                <w:szCs w:val="20"/>
                <w:highlight w:val="none"/>
                <w:u w:val="none" w:color="auto"/>
                <w:shd w:val="clear" w:color="auto" w:fill="auto"/>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黑体" w:hAnsi="宋体" w:eastAsia="黑体" w:cs="黑体"/>
                <w:color w:val="auto"/>
                <w:kern w:val="0"/>
                <w:sz w:val="20"/>
                <w:szCs w:val="20"/>
                <w:highlight w:val="none"/>
                <w:u w:val="none" w:color="auto"/>
                <w:shd w:val="clear" w:color="auto" w:fill="auto"/>
                <w:lang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黑体" w:hAnsi="宋体" w:eastAsia="黑体" w:cs="黑体"/>
                <w:color w:val="auto"/>
                <w:kern w:val="0"/>
                <w:sz w:val="20"/>
                <w:szCs w:val="20"/>
                <w:highlight w:val="none"/>
                <w:u w:val="none" w:color="auto"/>
                <w:shd w:val="clear" w:color="auto" w:fill="auto"/>
                <w:lang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黑体" w:hAnsi="宋体" w:eastAsia="黑体" w:cs="黑体"/>
                <w:color w:val="auto"/>
                <w:kern w:val="0"/>
                <w:sz w:val="20"/>
                <w:szCs w:val="20"/>
                <w:highlight w:val="none"/>
                <w:u w:val="none" w:color="auto"/>
                <w:shd w:val="clear" w:color="auto" w:fill="auto"/>
                <w:lang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黑体" w:hAnsi="宋体" w:eastAsia="黑体" w:cs="黑体"/>
                <w:color w:val="auto"/>
                <w:kern w:val="0"/>
                <w:sz w:val="20"/>
                <w:szCs w:val="20"/>
                <w:highlight w:val="none"/>
                <w:u w:val="none" w:color="auto"/>
                <w:shd w:val="clear" w:color="auto" w:fill="auto"/>
                <w:lang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黑体" w:hAnsi="宋体" w:eastAsia="黑体" w:cs="黑体"/>
                <w:color w:val="auto"/>
                <w:kern w:val="0"/>
                <w:sz w:val="20"/>
                <w:szCs w:val="20"/>
                <w:highlight w:val="none"/>
                <w:u w:val="none" w:color="auto"/>
                <w:shd w:val="clear" w:color="auto" w:fill="auto"/>
                <w:lang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黑体" w:hAnsi="宋体" w:eastAsia="黑体" w:cs="黑体"/>
                <w:color w:val="auto"/>
                <w:kern w:val="0"/>
                <w:sz w:val="20"/>
                <w:szCs w:val="20"/>
                <w:highlight w:val="none"/>
                <w:u w:val="none" w:color="auto"/>
                <w:shd w:val="clear" w:color="auto" w:fill="auto"/>
                <w:lang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黑体" w:hAnsi="宋体" w:eastAsia="黑体" w:cs="黑体"/>
                <w:color w:val="auto"/>
                <w:kern w:val="0"/>
                <w:sz w:val="20"/>
                <w:szCs w:val="20"/>
                <w:highlight w:val="none"/>
                <w:u w:val="none" w:color="auto"/>
                <w:shd w:val="clear" w:color="auto" w:fill="auto"/>
                <w:lang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黑体" w:hAnsi="宋体" w:eastAsia="黑体" w:cs="黑体"/>
                <w:color w:val="auto"/>
                <w:kern w:val="0"/>
                <w:sz w:val="20"/>
                <w:szCs w:val="20"/>
                <w:highlight w:val="none"/>
                <w:u w:val="none" w:color="auto"/>
                <w:shd w:val="clear" w:color="auto" w:fill="auto"/>
                <w:lang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黑体" w:hAnsi="宋体" w:eastAsia="黑体" w:cs="黑体"/>
                <w:color w:val="auto"/>
                <w:kern w:val="0"/>
                <w:sz w:val="20"/>
                <w:szCs w:val="20"/>
                <w:highlight w:val="none"/>
                <w:u w:val="none" w:color="auto"/>
                <w:shd w:val="clear" w:color="auto" w:fill="auto"/>
                <w:lang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hAnsi="Times New Roman" w:eastAsia="仿宋_GB2312" w:cs="Times New Roman"/>
                <w:color w:val="auto"/>
                <w:sz w:val="24"/>
                <w:szCs w:val="24"/>
                <w:highlight w:val="none"/>
                <w:u w:val="none" w:color="auto"/>
                <w:shd w:val="clear" w:color="auto" w:fill="auto"/>
                <w:lang w:val="en-US" w:eastAsia="zh-CN"/>
              </w:rPr>
            </w:pPr>
            <w:r>
              <w:rPr>
                <w:rFonts w:hint="eastAsia" w:ascii="宋体" w:hAnsi="Times New Roman" w:eastAsia="仿宋_GB2312" w:cs="Times New Roman"/>
                <w:color w:val="auto"/>
                <w:sz w:val="24"/>
                <w:szCs w:val="24"/>
                <w:highlight w:val="none"/>
                <w:u w:val="none" w:color="auto"/>
                <w:shd w:val="clear" w:color="auto" w:fill="auto"/>
                <w:lang w:val="en-US" w:eastAsia="zh-CN"/>
              </w:rPr>
              <w:t>0</w:t>
            </w:r>
          </w:p>
        </w:tc>
      </w:tr>
    </w:tbl>
    <w:p>
      <w:pPr>
        <w:pStyle w:val="5"/>
        <w:widowControl/>
        <w:shd w:val="clear" w:color="auto" w:fill="FFFFFF"/>
        <w:spacing w:before="0" w:beforeAutospacing="0" w:after="0" w:afterAutospacing="0"/>
        <w:ind w:firstLine="420"/>
        <w:jc w:val="both"/>
        <w:rPr>
          <w:rFonts w:hint="eastAsia" w:ascii="宋体" w:hAnsi="宋体" w:eastAsia="宋体" w:cs="宋体"/>
          <w:b/>
          <w:color w:val="auto"/>
          <w:szCs w:val="24"/>
          <w:highlight w:val="none"/>
          <w:u w:val="none" w:color="auto"/>
          <w:shd w:val="clear" w:color="auto" w:fill="auto"/>
        </w:rPr>
      </w:pP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u w:val="none" w:color="auto"/>
          <w:shd w:val="clear" w:fill="auto"/>
          <w:lang w:eastAsia="zh-CN"/>
        </w:rPr>
      </w:pPr>
      <w:r>
        <w:rPr>
          <w:rFonts w:hint="eastAsia" w:ascii="黑体" w:hAnsi="黑体" w:eastAsia="黑体" w:cs="黑体"/>
          <w:b w:val="0"/>
          <w:bCs/>
          <w:color w:val="auto"/>
          <w:sz w:val="32"/>
          <w:szCs w:val="32"/>
          <w:highlight w:val="none"/>
          <w:u w:val="none" w:color="auto"/>
          <w:shd w:val="clear" w:color="auto" w:fill="auto"/>
        </w:rPr>
        <w:t>五、存在的主要问题及改进情况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u w:val="none" w:color="auto"/>
          <w:shd w:val="clear" w:fill="auto"/>
          <w:lang w:val="en-US" w:eastAsia="zh-CN"/>
        </w:rPr>
      </w:pPr>
      <w:r>
        <w:rPr>
          <w:rFonts w:hint="eastAsia" w:ascii="仿宋_GB2312" w:hAnsi="仿宋_GB2312" w:eastAsia="仿宋_GB2312" w:cs="仿宋_GB2312"/>
          <w:sz w:val="32"/>
          <w:szCs w:val="32"/>
          <w:u w:val="none" w:color="auto"/>
          <w:shd w:val="clear" w:fill="auto"/>
          <w:lang w:val="en-US" w:eastAsia="zh-CN"/>
        </w:rPr>
        <w:t>2023年，我县加强监督指导，确保各单位规范及时公开，同时注重引导群众参与和监督，收集群众反馈意见276项，均及时公开采纳结果，虽然取得一定成效，但距离省、市要求还有不足，距离人民群众对政务公开的期望还有一定差距，主要存在以下问题：</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仿宋_GB2312" w:hAnsi="仿宋_GB2312" w:eastAsia="仿宋_GB2312" w:cs="仿宋_GB2312"/>
          <w:b w:val="0"/>
          <w:bCs w:val="0"/>
          <w:color w:val="auto"/>
          <w:sz w:val="32"/>
          <w:szCs w:val="32"/>
          <w:u w:val="none" w:color="auto"/>
          <w:shd w:val="clear" w:fill="auto"/>
          <w:lang w:val="en-US" w:eastAsia="zh-CN"/>
        </w:rPr>
      </w:pPr>
      <w:r>
        <w:rPr>
          <w:rFonts w:hint="eastAsia" w:ascii="仿宋_GB2312" w:hAnsi="仿宋_GB2312" w:eastAsia="仿宋_GB2312" w:cs="仿宋_GB2312"/>
          <w:b/>
          <w:bCs/>
          <w:sz w:val="32"/>
          <w:szCs w:val="32"/>
          <w:u w:val="none" w:color="auto"/>
          <w:shd w:val="clear" w:fill="auto"/>
          <w:lang w:val="en-US" w:eastAsia="zh-CN"/>
        </w:rPr>
        <w:t>一是乡镇政务公开专区规范化服务水平不高。</w:t>
      </w:r>
      <w:r>
        <w:rPr>
          <w:rFonts w:hint="eastAsia" w:ascii="仿宋_GB2312" w:hAnsi="仿宋_GB2312" w:eastAsia="仿宋_GB2312" w:cs="仿宋_GB2312"/>
          <w:sz w:val="32"/>
          <w:szCs w:val="32"/>
          <w:u w:val="none" w:color="auto"/>
          <w:shd w:val="clear" w:fill="auto"/>
          <w:lang w:val="en-US" w:eastAsia="zh-CN"/>
        </w:rPr>
        <w:t>由于乡镇工作人员有限，难以设立专门的岗位来管理专区，因此专区维护工作通常由政务公开经办人员兼任，在规范管理及有效运营方面，还需要不断探索和改善。</w:t>
      </w:r>
      <w:r>
        <w:rPr>
          <w:rFonts w:hint="eastAsia" w:ascii="仿宋_GB2312" w:hAnsi="仿宋_GB2312" w:eastAsia="仿宋_GB2312" w:cs="仿宋_GB2312"/>
          <w:b/>
          <w:bCs/>
          <w:color w:val="auto"/>
          <w:sz w:val="32"/>
          <w:szCs w:val="32"/>
          <w:u w:val="none" w:color="auto"/>
          <w:shd w:val="clear" w:fill="auto"/>
          <w:lang w:val="en-US" w:eastAsia="zh-CN"/>
        </w:rPr>
        <w:t>二是政府网站（政务新媒体）同政务公开平台集约化水平不强。</w:t>
      </w:r>
      <w:r>
        <w:rPr>
          <w:rFonts w:hint="eastAsia" w:ascii="仿宋_GB2312" w:hAnsi="仿宋_GB2312" w:eastAsia="仿宋_GB2312" w:cs="仿宋_GB2312"/>
          <w:b w:val="0"/>
          <w:bCs w:val="0"/>
          <w:color w:val="auto"/>
          <w:sz w:val="32"/>
          <w:szCs w:val="32"/>
          <w:u w:val="none" w:color="auto"/>
          <w:shd w:val="clear" w:fill="auto"/>
          <w:lang w:val="en-US" w:eastAsia="zh-CN"/>
        </w:rPr>
        <w:t>现行工作体系下，网站同政务公开监测标准存在差距，综合运用政务新媒体渠道解读政策、回应关切不足，网站架构陈旧，无法提供个性化、便捷化、智能化服务。</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u w:val="none" w:color="auto"/>
          <w:shd w:val="clear" w:fill="auto"/>
          <w:lang w:val="en-US" w:eastAsia="zh-CN"/>
        </w:rPr>
        <w:t>下一步改进措施：</w:t>
      </w:r>
      <w:r>
        <w:rPr>
          <w:rFonts w:hint="eastAsia" w:ascii="仿宋_GB2312" w:hAnsi="仿宋_GB2312" w:eastAsia="仿宋_GB2312" w:cs="仿宋_GB2312"/>
          <w:b/>
          <w:bCs/>
          <w:sz w:val="32"/>
          <w:szCs w:val="32"/>
          <w:lang w:val="en-US" w:eastAsia="zh-CN"/>
        </w:rPr>
        <w:t>一是简化流程，更好发挥专区功能。</w:t>
      </w:r>
      <w:r>
        <w:rPr>
          <w:rFonts w:hint="eastAsia" w:ascii="仿宋_GB2312" w:hAnsi="仿宋_GB2312" w:eastAsia="仿宋_GB2312" w:cs="仿宋_GB2312"/>
          <w:sz w:val="32"/>
          <w:szCs w:val="32"/>
          <w:lang w:val="en-US" w:eastAsia="zh-CN"/>
        </w:rPr>
        <w:t>围绕省、市指标体系和政务公开要点，持续加强专区管护，优化服务流程，突出发挥助力医保缴费、普法宣传等办事服务功能。</w:t>
      </w:r>
      <w:r>
        <w:rPr>
          <w:rFonts w:hint="eastAsia" w:ascii="仿宋_GB2312" w:hAnsi="仿宋_GB2312" w:eastAsia="仿宋_GB2312" w:cs="仿宋_GB2312"/>
          <w:b/>
          <w:bCs/>
          <w:sz w:val="32"/>
          <w:szCs w:val="32"/>
          <w:lang w:val="en-US" w:eastAsia="zh-CN"/>
        </w:rPr>
        <w:t>二是加强谋划，提升平台建设水平。</w:t>
      </w:r>
      <w:r>
        <w:rPr>
          <w:rFonts w:hint="eastAsia" w:ascii="仿宋_GB2312" w:hAnsi="仿宋_GB2312" w:eastAsia="仿宋_GB2312" w:cs="仿宋_GB2312"/>
          <w:b w:val="0"/>
          <w:bCs w:val="0"/>
          <w:sz w:val="32"/>
          <w:szCs w:val="32"/>
          <w:lang w:val="en-US" w:eastAsia="zh-CN"/>
        </w:rPr>
        <w:t>统筹平台管理，加大谋划力度，适时加强网站集约化水平，制定年度在线访谈计划，围绕群众关心关切，多渠道提供关联度高、时效性强的政府信息或服务。</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hint="eastAsia" w:ascii="黑体" w:hAnsi="黑体" w:eastAsia="黑体" w:cs="黑体"/>
          <w:b w:val="0"/>
          <w:bCs/>
          <w:color w:val="auto"/>
          <w:sz w:val="32"/>
          <w:szCs w:val="32"/>
          <w:highlight w:val="none"/>
          <w:u w:val="none" w:color="auto"/>
          <w:shd w:val="clear" w:color="auto" w:fill="auto"/>
        </w:rPr>
      </w:pPr>
      <w:r>
        <w:rPr>
          <w:rFonts w:hint="eastAsia" w:ascii="黑体" w:hAnsi="黑体" w:eastAsia="黑体" w:cs="黑体"/>
          <w:b w:val="0"/>
          <w:bCs/>
          <w:color w:val="auto"/>
          <w:sz w:val="32"/>
          <w:szCs w:val="32"/>
          <w:highlight w:val="none"/>
          <w:u w:val="none" w:color="auto"/>
          <w:shd w:val="clear" w:color="auto" w:fill="auto"/>
        </w:rPr>
        <w:t>六、其他需要报告的事项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仿宋_GB2312" w:hAnsi="仿宋_GB2312" w:eastAsia="仿宋_GB2312" w:cs="仿宋_GB2312"/>
          <w:sz w:val="32"/>
          <w:szCs w:val="32"/>
          <w:u w:val="none" w:color="auto"/>
          <w:shd w:val="clear" w:fill="auto"/>
          <w:lang w:val="en-US" w:eastAsia="zh-CN"/>
        </w:rPr>
      </w:pPr>
      <w:r>
        <w:rPr>
          <w:rFonts w:hint="default" w:ascii="仿宋_GB2312" w:hAnsi="仿宋_GB2312" w:eastAsia="仿宋_GB2312" w:cs="仿宋_GB2312"/>
          <w:sz w:val="32"/>
          <w:szCs w:val="32"/>
          <w:u w:val="none" w:color="auto"/>
          <w:shd w:val="clear" w:fill="auto"/>
          <w:lang w:val="en-US" w:eastAsia="zh-CN"/>
        </w:rPr>
        <w:t>落实省市政务公开年度重点工作任务，强化涉企政策公开，创新搭建“金寨县涉企政策智能推送系统”，将现行有效惠企政策“颗粒化”拆解，精准匹配企业，通过智能推送服务实现企业便捷兑现优惠政策，推动“人找政策”向“政策找人”转变，惠</w:t>
      </w:r>
      <w:r>
        <w:rPr>
          <w:rFonts w:hint="eastAsia" w:ascii="仿宋_GB2312" w:hAnsi="仿宋_GB2312" w:eastAsia="仿宋_GB2312" w:cs="仿宋_GB2312"/>
          <w:sz w:val="32"/>
          <w:szCs w:val="32"/>
          <w:u w:val="none" w:color="auto"/>
          <w:shd w:val="clear" w:fill="auto"/>
          <w:lang w:val="en-US" w:eastAsia="zh-CN"/>
        </w:rPr>
        <w:t>及</w:t>
      </w:r>
      <w:r>
        <w:rPr>
          <w:rFonts w:hint="default" w:ascii="仿宋_GB2312" w:hAnsi="仿宋_GB2312" w:eastAsia="仿宋_GB2312" w:cs="仿宋_GB2312"/>
          <w:sz w:val="32"/>
          <w:szCs w:val="32"/>
          <w:u w:val="none" w:color="auto"/>
          <w:shd w:val="clear" w:fill="auto"/>
          <w:lang w:val="en-US" w:eastAsia="zh-CN"/>
        </w:rPr>
        <w:t>县级3000余家企业。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仿宋_GB2312" w:hAnsi="仿宋_GB2312" w:eastAsia="仿宋_GB2312" w:cs="仿宋_GB2312"/>
          <w:kern w:val="2"/>
          <w:sz w:val="32"/>
          <w:szCs w:val="32"/>
          <w:u w:val="none" w:color="auto"/>
          <w:shd w:val="clear" w:fill="auto"/>
          <w:lang w:val="en-US" w:eastAsia="zh-CN" w:bidi="ar-SA"/>
        </w:rPr>
      </w:pPr>
      <w:r>
        <w:rPr>
          <w:rFonts w:hint="eastAsia" w:ascii="仿宋_GB2312" w:hAnsi="仿宋_GB2312" w:eastAsia="仿宋_GB2312" w:cs="仿宋_GB2312"/>
          <w:kern w:val="2"/>
          <w:sz w:val="32"/>
          <w:szCs w:val="32"/>
          <w:u w:val="none" w:color="auto"/>
          <w:shd w:val="clear" w:fill="auto"/>
          <w:lang w:val="en-US" w:eastAsia="zh-CN" w:bidi="ar-SA"/>
        </w:rPr>
        <w:t>按照《国务院办公厅关于印发〈政府信息公开信息处理费管理办法〉的通知》（国办函〔</w:t>
      </w:r>
      <w:r>
        <w:rPr>
          <w:rFonts w:hint="default" w:ascii="仿宋_GB2312" w:hAnsi="仿宋_GB2312" w:eastAsia="仿宋_GB2312" w:cs="仿宋_GB2312"/>
          <w:kern w:val="2"/>
          <w:sz w:val="32"/>
          <w:szCs w:val="32"/>
          <w:u w:val="none" w:color="auto"/>
          <w:shd w:val="clear" w:fill="auto"/>
          <w:lang w:val="en-US" w:eastAsia="zh-CN" w:bidi="ar-SA"/>
        </w:rPr>
        <w:t>2020</w:t>
      </w:r>
      <w:r>
        <w:rPr>
          <w:rFonts w:hint="eastAsia" w:ascii="仿宋_GB2312" w:hAnsi="仿宋_GB2312" w:eastAsia="仿宋_GB2312" w:cs="仿宋_GB2312"/>
          <w:kern w:val="2"/>
          <w:sz w:val="32"/>
          <w:szCs w:val="32"/>
          <w:u w:val="none" w:color="auto"/>
          <w:shd w:val="clear" w:fill="auto"/>
          <w:lang w:val="en-US" w:eastAsia="zh-CN" w:bidi="ar-SA"/>
        </w:rPr>
        <w:t>〕</w:t>
      </w:r>
      <w:r>
        <w:rPr>
          <w:rFonts w:hint="default" w:ascii="仿宋_GB2312" w:hAnsi="仿宋_GB2312" w:eastAsia="仿宋_GB2312" w:cs="仿宋_GB2312"/>
          <w:kern w:val="2"/>
          <w:sz w:val="32"/>
          <w:szCs w:val="32"/>
          <w:u w:val="none" w:color="auto"/>
          <w:shd w:val="clear" w:fill="auto"/>
          <w:lang w:val="en-US" w:eastAsia="zh-CN" w:bidi="ar-SA"/>
        </w:rPr>
        <w:t>109</w:t>
      </w:r>
      <w:r>
        <w:rPr>
          <w:rFonts w:hint="eastAsia" w:ascii="仿宋_GB2312" w:hAnsi="仿宋_GB2312" w:eastAsia="仿宋_GB2312" w:cs="仿宋_GB2312"/>
          <w:kern w:val="2"/>
          <w:sz w:val="32"/>
          <w:szCs w:val="32"/>
          <w:u w:val="none" w:color="auto"/>
          <w:shd w:val="clear" w:fill="auto"/>
          <w:lang w:val="en-US" w:eastAsia="zh-CN" w:bidi="ar-SA"/>
        </w:rPr>
        <w:t>号）规定的按件、按量收费标准，本年度没有产生信息公开处理费</w:t>
      </w:r>
      <w:r>
        <w:rPr>
          <w:rFonts w:hint="eastAsia" w:hAnsi="仿宋_GB2312" w:cs="仿宋_GB2312"/>
          <w:kern w:val="2"/>
          <w:sz w:val="32"/>
          <w:szCs w:val="32"/>
          <w:u w:val="none" w:color="auto"/>
          <w:shd w:val="clear" w:fill="auto"/>
          <w:lang w:val="en-US" w:eastAsia="zh-CN" w:bidi="ar-SA"/>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u w:val="none" w:color="auto"/>
          <w:shd w:val="clear" w:fill="auto"/>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3B5871"/>
    <w:rsid w:val="003E2476"/>
    <w:rsid w:val="00554B78"/>
    <w:rsid w:val="01314F01"/>
    <w:rsid w:val="0165045D"/>
    <w:rsid w:val="01CD5449"/>
    <w:rsid w:val="01F66ACE"/>
    <w:rsid w:val="022C24DE"/>
    <w:rsid w:val="030C130F"/>
    <w:rsid w:val="0317189E"/>
    <w:rsid w:val="039D2DFC"/>
    <w:rsid w:val="03AB601B"/>
    <w:rsid w:val="04074A2A"/>
    <w:rsid w:val="04361CF6"/>
    <w:rsid w:val="047835CA"/>
    <w:rsid w:val="04993F99"/>
    <w:rsid w:val="04A226AA"/>
    <w:rsid w:val="05C51FEF"/>
    <w:rsid w:val="05D55C6E"/>
    <w:rsid w:val="05DA23A7"/>
    <w:rsid w:val="06E460DC"/>
    <w:rsid w:val="06EB12EA"/>
    <w:rsid w:val="06EF446D"/>
    <w:rsid w:val="07347160"/>
    <w:rsid w:val="074628FE"/>
    <w:rsid w:val="078C1D6D"/>
    <w:rsid w:val="07AB012E"/>
    <w:rsid w:val="07EF4C29"/>
    <w:rsid w:val="07FB6661"/>
    <w:rsid w:val="08115849"/>
    <w:rsid w:val="081B2239"/>
    <w:rsid w:val="08AE286A"/>
    <w:rsid w:val="08B42AD4"/>
    <w:rsid w:val="094E0AD4"/>
    <w:rsid w:val="096111B0"/>
    <w:rsid w:val="09AD4F47"/>
    <w:rsid w:val="09B3627A"/>
    <w:rsid w:val="09E9764E"/>
    <w:rsid w:val="0A9764ED"/>
    <w:rsid w:val="0AA35B83"/>
    <w:rsid w:val="0B6F074F"/>
    <w:rsid w:val="0B8B47FB"/>
    <w:rsid w:val="0BC46C9F"/>
    <w:rsid w:val="0BE51A12"/>
    <w:rsid w:val="0BF367A9"/>
    <w:rsid w:val="0C1237DB"/>
    <w:rsid w:val="0C825C20"/>
    <w:rsid w:val="0C9B7EBC"/>
    <w:rsid w:val="0CE95A3D"/>
    <w:rsid w:val="0D4D7CE0"/>
    <w:rsid w:val="0D773C1E"/>
    <w:rsid w:val="0DB20D09"/>
    <w:rsid w:val="0E19612F"/>
    <w:rsid w:val="0E317059"/>
    <w:rsid w:val="0E4C1E01"/>
    <w:rsid w:val="0E6C0137"/>
    <w:rsid w:val="0ED33D55"/>
    <w:rsid w:val="0EE000F6"/>
    <w:rsid w:val="0EFC4554"/>
    <w:rsid w:val="0F013EAE"/>
    <w:rsid w:val="0F386586"/>
    <w:rsid w:val="0FA201B4"/>
    <w:rsid w:val="103F5AB4"/>
    <w:rsid w:val="11CA303C"/>
    <w:rsid w:val="11FC4B10"/>
    <w:rsid w:val="122711D7"/>
    <w:rsid w:val="124064FE"/>
    <w:rsid w:val="129B1196"/>
    <w:rsid w:val="12FB6C31"/>
    <w:rsid w:val="132013EF"/>
    <w:rsid w:val="137974FF"/>
    <w:rsid w:val="13A938D2"/>
    <w:rsid w:val="14013F61"/>
    <w:rsid w:val="14B51486"/>
    <w:rsid w:val="15F0378C"/>
    <w:rsid w:val="160F623F"/>
    <w:rsid w:val="16301FF7"/>
    <w:rsid w:val="1677496A"/>
    <w:rsid w:val="168E6B0D"/>
    <w:rsid w:val="178A7CAA"/>
    <w:rsid w:val="17BF2702"/>
    <w:rsid w:val="17D0041E"/>
    <w:rsid w:val="17DE7734"/>
    <w:rsid w:val="18150F13"/>
    <w:rsid w:val="18386B49"/>
    <w:rsid w:val="18912A5B"/>
    <w:rsid w:val="189701E7"/>
    <w:rsid w:val="18DB1BD5"/>
    <w:rsid w:val="190E58A7"/>
    <w:rsid w:val="19C26650"/>
    <w:rsid w:val="19C340D1"/>
    <w:rsid w:val="19CF3767"/>
    <w:rsid w:val="19ED7B88"/>
    <w:rsid w:val="1AD9749D"/>
    <w:rsid w:val="1BCE542B"/>
    <w:rsid w:val="1C060E08"/>
    <w:rsid w:val="1C08210D"/>
    <w:rsid w:val="1C411EE7"/>
    <w:rsid w:val="1D1C2B4F"/>
    <w:rsid w:val="1D6D7456"/>
    <w:rsid w:val="1D86477C"/>
    <w:rsid w:val="1D9C4722"/>
    <w:rsid w:val="1E0E375C"/>
    <w:rsid w:val="1F734328"/>
    <w:rsid w:val="1F936DDB"/>
    <w:rsid w:val="1FA328F8"/>
    <w:rsid w:val="1FCC2438"/>
    <w:rsid w:val="20030393"/>
    <w:rsid w:val="20330EE3"/>
    <w:rsid w:val="204F4F90"/>
    <w:rsid w:val="206567E1"/>
    <w:rsid w:val="206D1FC1"/>
    <w:rsid w:val="20975384"/>
    <w:rsid w:val="20D97A38"/>
    <w:rsid w:val="21637056"/>
    <w:rsid w:val="21D32B8D"/>
    <w:rsid w:val="21EF6C3A"/>
    <w:rsid w:val="223573AF"/>
    <w:rsid w:val="22422E41"/>
    <w:rsid w:val="22535E39"/>
    <w:rsid w:val="22F454D0"/>
    <w:rsid w:val="22F73BE9"/>
    <w:rsid w:val="230B610D"/>
    <w:rsid w:val="23B27BA0"/>
    <w:rsid w:val="246B154C"/>
    <w:rsid w:val="24C73E65"/>
    <w:rsid w:val="255A0E55"/>
    <w:rsid w:val="256965FE"/>
    <w:rsid w:val="26023BEC"/>
    <w:rsid w:val="260470EF"/>
    <w:rsid w:val="269D0062"/>
    <w:rsid w:val="26AA787D"/>
    <w:rsid w:val="26B01787"/>
    <w:rsid w:val="27723A43"/>
    <w:rsid w:val="2777374E"/>
    <w:rsid w:val="27B37D2F"/>
    <w:rsid w:val="27E1537C"/>
    <w:rsid w:val="286C4F60"/>
    <w:rsid w:val="28D5368A"/>
    <w:rsid w:val="29585E62"/>
    <w:rsid w:val="29B4657B"/>
    <w:rsid w:val="29C50A14"/>
    <w:rsid w:val="2ACF474A"/>
    <w:rsid w:val="2AF6240B"/>
    <w:rsid w:val="2BD107CE"/>
    <w:rsid w:val="2C6527FA"/>
    <w:rsid w:val="2C88151C"/>
    <w:rsid w:val="2CA50E4D"/>
    <w:rsid w:val="2CB2402E"/>
    <w:rsid w:val="2CBE19F6"/>
    <w:rsid w:val="2CC04EFA"/>
    <w:rsid w:val="2CF35E23"/>
    <w:rsid w:val="2D69660C"/>
    <w:rsid w:val="2D9654D7"/>
    <w:rsid w:val="2DFF5C06"/>
    <w:rsid w:val="2F363704"/>
    <w:rsid w:val="2F4A6B22"/>
    <w:rsid w:val="2FBF1A5D"/>
    <w:rsid w:val="30A203D8"/>
    <w:rsid w:val="310F5189"/>
    <w:rsid w:val="3118389A"/>
    <w:rsid w:val="31335748"/>
    <w:rsid w:val="314743E9"/>
    <w:rsid w:val="323507EE"/>
    <w:rsid w:val="327B56DF"/>
    <w:rsid w:val="32890278"/>
    <w:rsid w:val="330368BD"/>
    <w:rsid w:val="333B5871"/>
    <w:rsid w:val="33766BFC"/>
    <w:rsid w:val="33953C2E"/>
    <w:rsid w:val="33F93952"/>
    <w:rsid w:val="341344FC"/>
    <w:rsid w:val="342844A1"/>
    <w:rsid w:val="34881F3C"/>
    <w:rsid w:val="349D0BDD"/>
    <w:rsid w:val="34DE074D"/>
    <w:rsid w:val="34F01DE2"/>
    <w:rsid w:val="356E6D37"/>
    <w:rsid w:val="35840EDB"/>
    <w:rsid w:val="35AD429D"/>
    <w:rsid w:val="35D65248"/>
    <w:rsid w:val="36992FA1"/>
    <w:rsid w:val="374146B4"/>
    <w:rsid w:val="375458D3"/>
    <w:rsid w:val="37A96661"/>
    <w:rsid w:val="381F62A0"/>
    <w:rsid w:val="384D38EC"/>
    <w:rsid w:val="384E136E"/>
    <w:rsid w:val="38BD7423"/>
    <w:rsid w:val="38DC1ED6"/>
    <w:rsid w:val="39704948"/>
    <w:rsid w:val="39810466"/>
    <w:rsid w:val="39A86127"/>
    <w:rsid w:val="39CE4CE2"/>
    <w:rsid w:val="3A1379D5"/>
    <w:rsid w:val="3A546240"/>
    <w:rsid w:val="3A7D1602"/>
    <w:rsid w:val="3AA627C7"/>
    <w:rsid w:val="3B211F38"/>
    <w:rsid w:val="3B2B6BC5"/>
    <w:rsid w:val="3B3F4F44"/>
    <w:rsid w:val="3B5D44F4"/>
    <w:rsid w:val="3C4055E7"/>
    <w:rsid w:val="3C535D05"/>
    <w:rsid w:val="3C8F5B6A"/>
    <w:rsid w:val="3D394CFE"/>
    <w:rsid w:val="3D5F2EF6"/>
    <w:rsid w:val="3E1A3480"/>
    <w:rsid w:val="3EBE3C01"/>
    <w:rsid w:val="3EE275EB"/>
    <w:rsid w:val="3F1E4982"/>
    <w:rsid w:val="3F5575F7"/>
    <w:rsid w:val="3F82393F"/>
    <w:rsid w:val="3FC5421E"/>
    <w:rsid w:val="40030A15"/>
    <w:rsid w:val="402A5051"/>
    <w:rsid w:val="40413A51"/>
    <w:rsid w:val="40F01597"/>
    <w:rsid w:val="410B59C4"/>
    <w:rsid w:val="41294E8F"/>
    <w:rsid w:val="416824DA"/>
    <w:rsid w:val="41922333"/>
    <w:rsid w:val="41CF3183"/>
    <w:rsid w:val="423B3B37"/>
    <w:rsid w:val="423F253E"/>
    <w:rsid w:val="42547171"/>
    <w:rsid w:val="429441C6"/>
    <w:rsid w:val="42C11812"/>
    <w:rsid w:val="42C44321"/>
    <w:rsid w:val="42D504B3"/>
    <w:rsid w:val="42EA29D6"/>
    <w:rsid w:val="42F02361"/>
    <w:rsid w:val="43667DA2"/>
    <w:rsid w:val="437A236C"/>
    <w:rsid w:val="43981875"/>
    <w:rsid w:val="441E3316"/>
    <w:rsid w:val="4432296D"/>
    <w:rsid w:val="44877E79"/>
    <w:rsid w:val="44E12B11"/>
    <w:rsid w:val="44F92736"/>
    <w:rsid w:val="46340946"/>
    <w:rsid w:val="464D55E6"/>
    <w:rsid w:val="46942157"/>
    <w:rsid w:val="46970EDE"/>
    <w:rsid w:val="46EA50E5"/>
    <w:rsid w:val="47064A15"/>
    <w:rsid w:val="471F593F"/>
    <w:rsid w:val="472033C0"/>
    <w:rsid w:val="47220AC2"/>
    <w:rsid w:val="47253CE2"/>
    <w:rsid w:val="47372FE6"/>
    <w:rsid w:val="47382C65"/>
    <w:rsid w:val="47537093"/>
    <w:rsid w:val="482F1EF9"/>
    <w:rsid w:val="4843441C"/>
    <w:rsid w:val="48B06FCF"/>
    <w:rsid w:val="495B45EB"/>
    <w:rsid w:val="49C76797"/>
    <w:rsid w:val="4A072E04"/>
    <w:rsid w:val="4A077580"/>
    <w:rsid w:val="4A0F0210"/>
    <w:rsid w:val="4ADB2DDC"/>
    <w:rsid w:val="4AE414ED"/>
    <w:rsid w:val="4AF45F04"/>
    <w:rsid w:val="4AF67B51"/>
    <w:rsid w:val="4AFB1112"/>
    <w:rsid w:val="4BB772C7"/>
    <w:rsid w:val="4C7605FF"/>
    <w:rsid w:val="4C8B4D21"/>
    <w:rsid w:val="4D655D09"/>
    <w:rsid w:val="4DCB189F"/>
    <w:rsid w:val="4DE4496D"/>
    <w:rsid w:val="4DE578DC"/>
    <w:rsid w:val="4ECB68D5"/>
    <w:rsid w:val="4F2E52F4"/>
    <w:rsid w:val="4F5C5E49"/>
    <w:rsid w:val="4F714AE4"/>
    <w:rsid w:val="500365D1"/>
    <w:rsid w:val="50714687"/>
    <w:rsid w:val="50716C05"/>
    <w:rsid w:val="507B081A"/>
    <w:rsid w:val="507E123A"/>
    <w:rsid w:val="51773F34"/>
    <w:rsid w:val="517819B6"/>
    <w:rsid w:val="51AE408E"/>
    <w:rsid w:val="51FB5219"/>
    <w:rsid w:val="52582329"/>
    <w:rsid w:val="525F684C"/>
    <w:rsid w:val="52C82CE6"/>
    <w:rsid w:val="52D902F9"/>
    <w:rsid w:val="530968C9"/>
    <w:rsid w:val="534122A6"/>
    <w:rsid w:val="534F15BC"/>
    <w:rsid w:val="537F430A"/>
    <w:rsid w:val="546501A7"/>
    <w:rsid w:val="556876AD"/>
    <w:rsid w:val="56206E5C"/>
    <w:rsid w:val="566B5FD6"/>
    <w:rsid w:val="56781A69"/>
    <w:rsid w:val="56820D63"/>
    <w:rsid w:val="56A838BD"/>
    <w:rsid w:val="57250C88"/>
    <w:rsid w:val="57260908"/>
    <w:rsid w:val="5728768E"/>
    <w:rsid w:val="58196C95"/>
    <w:rsid w:val="58657096"/>
    <w:rsid w:val="58743E2D"/>
    <w:rsid w:val="58D418C8"/>
    <w:rsid w:val="592A4855"/>
    <w:rsid w:val="5939154E"/>
    <w:rsid w:val="59A809A7"/>
    <w:rsid w:val="59DC20FA"/>
    <w:rsid w:val="5A3C3419"/>
    <w:rsid w:val="5A66425D"/>
    <w:rsid w:val="5C7B5EC6"/>
    <w:rsid w:val="5C8477CE"/>
    <w:rsid w:val="5E7B340D"/>
    <w:rsid w:val="5E85179E"/>
    <w:rsid w:val="5EB94BF5"/>
    <w:rsid w:val="5EF27BD4"/>
    <w:rsid w:val="5F20199D"/>
    <w:rsid w:val="5F3560BF"/>
    <w:rsid w:val="5F390348"/>
    <w:rsid w:val="5FB05A09"/>
    <w:rsid w:val="5FD27242"/>
    <w:rsid w:val="603E4373"/>
    <w:rsid w:val="6072134A"/>
    <w:rsid w:val="608E39FE"/>
    <w:rsid w:val="60E445EB"/>
    <w:rsid w:val="6174014D"/>
    <w:rsid w:val="61B31956"/>
    <w:rsid w:val="61F050AA"/>
    <w:rsid w:val="63076D84"/>
    <w:rsid w:val="63972DF0"/>
    <w:rsid w:val="64FD143E"/>
    <w:rsid w:val="65293587"/>
    <w:rsid w:val="65333E96"/>
    <w:rsid w:val="65472B37"/>
    <w:rsid w:val="66C40DA9"/>
    <w:rsid w:val="670E24A3"/>
    <w:rsid w:val="67110EA9"/>
    <w:rsid w:val="673213DD"/>
    <w:rsid w:val="67425DF4"/>
    <w:rsid w:val="67B1772D"/>
    <w:rsid w:val="67C718D1"/>
    <w:rsid w:val="67CF37D6"/>
    <w:rsid w:val="6839343C"/>
    <w:rsid w:val="68783C73"/>
    <w:rsid w:val="690A31E2"/>
    <w:rsid w:val="692C1198"/>
    <w:rsid w:val="693904AE"/>
    <w:rsid w:val="693A17B3"/>
    <w:rsid w:val="69A70AE2"/>
    <w:rsid w:val="6A4D0376"/>
    <w:rsid w:val="6AC45A36"/>
    <w:rsid w:val="6AF07B7F"/>
    <w:rsid w:val="6B131038"/>
    <w:rsid w:val="6B2F50E5"/>
    <w:rsid w:val="6B4B4F31"/>
    <w:rsid w:val="6BB072F6"/>
    <w:rsid w:val="6BCF6E80"/>
    <w:rsid w:val="6BF264A8"/>
    <w:rsid w:val="6BFF1F3B"/>
    <w:rsid w:val="6C105A58"/>
    <w:rsid w:val="6C3D307F"/>
    <w:rsid w:val="6C411AAB"/>
    <w:rsid w:val="6C7269F6"/>
    <w:rsid w:val="6CA664D9"/>
    <w:rsid w:val="6D05726A"/>
    <w:rsid w:val="6D8A2D46"/>
    <w:rsid w:val="6E010407"/>
    <w:rsid w:val="6E1A1331"/>
    <w:rsid w:val="6E563714"/>
    <w:rsid w:val="6E8F5B67"/>
    <w:rsid w:val="6F4D3C7D"/>
    <w:rsid w:val="6FCD79CD"/>
    <w:rsid w:val="702C2015"/>
    <w:rsid w:val="709B4B8A"/>
    <w:rsid w:val="70E417C4"/>
    <w:rsid w:val="7110138E"/>
    <w:rsid w:val="71573D01"/>
    <w:rsid w:val="716A2D22"/>
    <w:rsid w:val="71A86F83"/>
    <w:rsid w:val="71C30E32"/>
    <w:rsid w:val="72881E74"/>
    <w:rsid w:val="72DE6ECD"/>
    <w:rsid w:val="72DF01FE"/>
    <w:rsid w:val="73B924A7"/>
    <w:rsid w:val="73E346AF"/>
    <w:rsid w:val="73EB753D"/>
    <w:rsid w:val="73ED71BD"/>
    <w:rsid w:val="74003C5F"/>
    <w:rsid w:val="740238DF"/>
    <w:rsid w:val="740B676D"/>
    <w:rsid w:val="74294E24"/>
    <w:rsid w:val="74B039EF"/>
    <w:rsid w:val="75206410"/>
    <w:rsid w:val="755F161D"/>
    <w:rsid w:val="76587637"/>
    <w:rsid w:val="7684397E"/>
    <w:rsid w:val="768C680C"/>
    <w:rsid w:val="76BD3DFD"/>
    <w:rsid w:val="77501DCD"/>
    <w:rsid w:val="775252D0"/>
    <w:rsid w:val="776D717F"/>
    <w:rsid w:val="77DD2CB6"/>
    <w:rsid w:val="77DE52F3"/>
    <w:rsid w:val="782A7532"/>
    <w:rsid w:val="78846947"/>
    <w:rsid w:val="78BF32A9"/>
    <w:rsid w:val="78CA163A"/>
    <w:rsid w:val="78D36201"/>
    <w:rsid w:val="78F63AC8"/>
    <w:rsid w:val="79822FE7"/>
    <w:rsid w:val="79C70258"/>
    <w:rsid w:val="79E679D5"/>
    <w:rsid w:val="79F57AA2"/>
    <w:rsid w:val="7A982B2F"/>
    <w:rsid w:val="7AC15EF1"/>
    <w:rsid w:val="7B373932"/>
    <w:rsid w:val="7C01687E"/>
    <w:rsid w:val="7C912E90"/>
    <w:rsid w:val="7D3511F9"/>
    <w:rsid w:val="7D6961D0"/>
    <w:rsid w:val="7E6E21FA"/>
    <w:rsid w:val="7EB3166A"/>
    <w:rsid w:val="7EB85AF2"/>
    <w:rsid w:val="7EF60E5A"/>
    <w:rsid w:val="7FDA6ECE"/>
    <w:rsid w:val="7FDE168A"/>
    <w:rsid w:val="7FEB0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next w:val="1"/>
    <w:qFormat/>
    <w:uiPriority w:val="0"/>
    <w:pPr>
      <w:widowControl w:val="0"/>
      <w:spacing w:before="50" w:beforeLines="50" w:after="50" w:afterLines="50" w:line="360" w:lineRule="auto"/>
      <w:jc w:val="both"/>
    </w:pPr>
    <w:rPr>
      <w:rFonts w:ascii="Times New Roman" w:hAnsi="Times New Roman" w:eastAsia="宋体" w:cs="Times New Roman"/>
      <w:b/>
      <w:kern w:val="2"/>
      <w:sz w:val="24"/>
      <w:szCs w:val="24"/>
      <w:lang w:val="en-US" w:eastAsia="zh-CN" w:bidi="ar-SA"/>
    </w:rPr>
  </w:style>
  <w:style w:type="paragraph" w:customStyle="1" w:styleId="5">
    <w:name w:val="Normal (Web)"/>
    <w:qFormat/>
    <w:uiPriority w:val="0"/>
    <w:pPr>
      <w:widowControl w:val="0"/>
      <w:spacing w:before="100" w:beforeAutospacing="1" w:after="100" w:afterAutospacing="1"/>
      <w:jc w:val="left"/>
    </w:pPr>
    <w:rPr>
      <w:rFonts w:ascii="仿宋_GB2312" w:hAnsi="Times New Roman" w:eastAsia="仿宋_GB2312" w:cs="Times New Roman"/>
      <w:kern w:val="0"/>
      <w:sz w:val="24"/>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2986</Words>
  <Characters>3160</Characters>
  <Lines>0</Lines>
  <Paragraphs>0</Paragraphs>
  <TotalTime>9</TotalTime>
  <ScaleCrop>false</ScaleCrop>
  <LinksUpToDate>false</LinksUpToDate>
  <CharactersWithSpaces>3160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2024-01-29T07:54:00Z</dcterms:created>
  <dc:creator>白小黑</dc:creator>
  <cp:lastModifiedBy>白小黑</cp:lastModifiedBy>
  <cp:lastPrinted>2024-01-30T09:49:00Z</cp:lastPrinted>
  <dcterms:modified xsi:type="dcterms:W3CDTF">2024-02-20T13:48:17Z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33B0E863B2B34A62900E66F2980A91D4</vt:lpwstr>
  </property>
</Properties>
</file>