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金寨县双河镇人民政府2023年政府信息</w:t>
      </w:r>
    </w:p>
    <w:p>
      <w:pPr>
        <w:keepNext w:val="0"/>
        <w:keepLines w:val="0"/>
        <w:pageBreakBefore w:val="0"/>
        <w:kinsoku/>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公开工作年度报告</w:t>
      </w:r>
    </w:p>
    <w:p>
      <w:pPr>
        <w:keepNext w:val="0"/>
        <w:keepLines w:val="0"/>
        <w:pageBreakBefore w:val="0"/>
        <w:kinsoku/>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本报告依据《中华人民共和国政府信息公开条例》（国务院令第711</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号，以下简称（新《条例》）和《金寨县政务公开办公室关于做好2023</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年度政府信息公开年</w:t>
      </w:r>
      <w:bookmarkStart w:id="0" w:name="_GoBack"/>
      <w:bookmarkEnd w:id="0"/>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度报告编制和发布工作的通知》（金政公开〔2024</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〕1</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号）要求编制而成。报告主要包括：总体情况、行政机关主动公开政府信息情况、收到和处理政府信息公开申请情况、政府信息公开行政复议、行政诉讼情况、政府信息公开工作存在的主要问题及改进情况和其他需要报告的事项。本报告中使用数据统计期限为2023</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年1</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月1</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日至12</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月31</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日，报告的电子版可在金寨县信息公开（https://www.ahjinzhai.gov.cn/public/content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right="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/37021403</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）下载。如对本报告有任何疑问，请与金寨县双河镇人民政府办公室联系（地址：双河镇人民政府二楼，电话：0564</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--7751001</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，邮编：237381</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方正黑体_GBK" w:cs="Times New Roman"/>
          <w:i w:val="0"/>
          <w:iCs w:val="0"/>
          <w:caps w:val="0"/>
          <w:color w:val="333333"/>
          <w:spacing w:val="0"/>
          <w:sz w:val="32"/>
          <w:szCs w:val="32"/>
          <w:bdr w:val="none" w:color="auto" w:sz="0" w:space="0"/>
          <w:shd w:val="clear" w:fill="FFFFFF"/>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480"/>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sz w:val="32"/>
          <w:szCs w:val="32"/>
          <w:bdr w:val="none" w:color="auto" w:sz="0" w:space="0"/>
          <w:shd w:val="clear" w:fill="FFFFFF"/>
        </w:rPr>
        <w:t>2023</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年，双河镇以习近平新时代中国特色社会主义思想为指导，认真贯彻落实省、市、县政务公开工作部署，切实推进双河镇政府信息公开工作高质量发展。</w:t>
      </w:r>
      <w:r>
        <w:rPr>
          <w:rFonts w:hint="default" w:ascii="Times New Roman" w:hAnsi="Times New Roman" w:eastAsia="仿宋_GB2312" w:cs="Times New Roman"/>
          <w:i w:val="0"/>
          <w:iCs w:val="0"/>
          <w:caps w:val="0"/>
          <w:color w:val="333333"/>
          <w:spacing w:val="0"/>
          <w:sz w:val="32"/>
          <w:szCs w:val="32"/>
          <w:bdr w:val="none" w:color="auto" w:sz="0" w:space="0"/>
          <w:shd w:val="clear" w:fill="FFFFFF"/>
        </w:rPr>
        <w:t>2023</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年，按照应公开尽公开的要求，全镇公开政府信息共</w:t>
      </w:r>
      <w:r>
        <w:rPr>
          <w:rFonts w:hint="default" w:ascii="Times New Roman" w:hAnsi="Times New Roman" w:eastAsia="仿宋_GB2312" w:cs="Times New Roman"/>
          <w:i w:val="0"/>
          <w:iCs w:val="0"/>
          <w:caps w:val="0"/>
          <w:color w:val="333333"/>
          <w:spacing w:val="0"/>
          <w:sz w:val="32"/>
          <w:szCs w:val="32"/>
          <w:bdr w:val="none" w:color="auto" w:sz="0" w:space="0"/>
          <w:shd w:val="clear" w:fill="FFFFFF"/>
        </w:rPr>
        <w:t>2502</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条，其中主动公开</w:t>
      </w:r>
      <w:r>
        <w:rPr>
          <w:rFonts w:hint="default" w:ascii="Times New Roman" w:hAnsi="Times New Roman" w:eastAsia="仿宋_GB2312" w:cs="Times New Roman"/>
          <w:i w:val="0"/>
          <w:iCs w:val="0"/>
          <w:caps w:val="0"/>
          <w:color w:val="333333"/>
          <w:spacing w:val="0"/>
          <w:sz w:val="32"/>
          <w:szCs w:val="32"/>
          <w:bdr w:val="none" w:color="auto" w:sz="0" w:space="0"/>
          <w:shd w:val="clear" w:fill="FFFFFF"/>
        </w:rPr>
        <w:t>721</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条，</w:t>
      </w:r>
      <w:r>
        <w:rPr>
          <w:rFonts w:hint="default" w:ascii="Times New Roman" w:hAnsi="Times New Roman" w:eastAsia="仿宋_GB2312" w:cs="Times New Roman"/>
          <w:i w:val="0"/>
          <w:iCs w:val="0"/>
          <w:caps w:val="0"/>
          <w:color w:val="333333"/>
          <w:spacing w:val="0"/>
          <w:sz w:val="32"/>
          <w:szCs w:val="32"/>
          <w:bdr w:val="none" w:color="auto" w:sz="0" w:space="0"/>
          <w:shd w:val="clear" w:fill="FFFFFF"/>
        </w:rPr>
        <w:t>“</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两化</w:t>
      </w:r>
      <w:r>
        <w:rPr>
          <w:rFonts w:hint="default" w:ascii="Times New Roman" w:hAnsi="Times New Roman" w:eastAsia="仿宋_GB2312" w:cs="Times New Roman"/>
          <w:i w:val="0"/>
          <w:iCs w:val="0"/>
          <w:caps w:val="0"/>
          <w:color w:val="333333"/>
          <w:spacing w:val="0"/>
          <w:sz w:val="32"/>
          <w:szCs w:val="32"/>
          <w:bdr w:val="none" w:color="auto" w:sz="0" w:space="0"/>
          <w:shd w:val="clear" w:fill="FFFFFF"/>
        </w:rPr>
        <w:t>”</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公开</w:t>
      </w:r>
      <w:r>
        <w:rPr>
          <w:rFonts w:hint="default" w:ascii="Times New Roman" w:hAnsi="Times New Roman" w:eastAsia="仿宋_GB2312" w:cs="Times New Roman"/>
          <w:i w:val="0"/>
          <w:iCs w:val="0"/>
          <w:caps w:val="0"/>
          <w:color w:val="333333"/>
          <w:spacing w:val="0"/>
          <w:sz w:val="32"/>
          <w:szCs w:val="32"/>
          <w:bdr w:val="none" w:color="auto" w:sz="0" w:space="0"/>
          <w:shd w:val="clear" w:fill="FFFFFF"/>
        </w:rPr>
        <w:t>1781</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480"/>
        <w:jc w:val="both"/>
        <w:textAlignment w:val="auto"/>
        <w:rPr>
          <w:rFonts w:hint="default" w:ascii="Times New Roman" w:hAnsi="Times New Roman" w:eastAsia="方正楷体_GBK" w:cs="Times New Roman"/>
          <w:i w:val="0"/>
          <w:iCs w:val="0"/>
          <w:caps w:val="0"/>
          <w:color w:val="333333"/>
          <w:spacing w:val="0"/>
          <w:sz w:val="24"/>
          <w:szCs w:val="24"/>
          <w:lang w:eastAsia="zh-CN"/>
        </w:rPr>
      </w:pPr>
      <w:r>
        <w:rPr>
          <w:rFonts w:hint="default" w:ascii="Times New Roman" w:hAnsi="Times New Roman" w:eastAsia="方正楷体_GBK" w:cs="Times New Roman"/>
          <w:b/>
          <w:bCs/>
          <w:i w:val="0"/>
          <w:iCs w:val="0"/>
          <w:caps w:val="0"/>
          <w:color w:val="333333"/>
          <w:spacing w:val="0"/>
          <w:sz w:val="32"/>
          <w:szCs w:val="32"/>
          <w:bdr w:val="none" w:color="auto" w:sz="0" w:space="0"/>
          <w:shd w:val="clear" w:fill="FFFFFF"/>
        </w:rPr>
        <w:t>（一）主动公开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480"/>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一是将重点工作贯穿政务公开始终。</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分月拆解年度重点工作</w:t>
      </w:r>
      <w:r>
        <w:rPr>
          <w:rFonts w:hint="default" w:ascii="Times New Roman" w:hAnsi="Times New Roman" w:eastAsia="仿宋_GB2312" w:cs="Times New Roman"/>
          <w:i w:val="0"/>
          <w:iCs w:val="0"/>
          <w:caps w:val="0"/>
          <w:color w:val="333333"/>
          <w:spacing w:val="0"/>
          <w:sz w:val="32"/>
          <w:szCs w:val="32"/>
          <w:bdr w:val="none" w:color="auto" w:sz="0" w:space="0"/>
          <w:shd w:val="clear" w:fill="FFFFFF"/>
        </w:rPr>
        <w:t>12</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件，及时公开落实情况，发布通报</w:t>
      </w:r>
      <w:r>
        <w:rPr>
          <w:rFonts w:hint="default" w:ascii="Times New Roman" w:hAnsi="Times New Roman" w:eastAsia="仿宋_GB2312" w:cs="Times New Roman"/>
          <w:i w:val="0"/>
          <w:iCs w:val="0"/>
          <w:caps w:val="0"/>
          <w:color w:val="333333"/>
          <w:spacing w:val="0"/>
          <w:sz w:val="32"/>
          <w:szCs w:val="32"/>
          <w:bdr w:val="none" w:color="auto" w:sz="0" w:space="0"/>
          <w:shd w:val="clear" w:fill="FFFFFF"/>
        </w:rPr>
        <w:t>21</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件，切实发挥以公开促落实、促规范作用。</w:t>
      </w: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二是围绕群众关切加强政策解读力度。</w:t>
      </w:r>
      <w:r>
        <w:rPr>
          <w:rFonts w:hint="default" w:ascii="Times New Roman" w:hAnsi="Times New Roman" w:eastAsia="方正仿宋_GBK" w:cs="Times New Roman"/>
          <w:b w:val="0"/>
          <w:bCs w:val="0"/>
          <w:i w:val="0"/>
          <w:iCs w:val="0"/>
          <w:caps w:val="0"/>
          <w:color w:val="333333"/>
          <w:spacing w:val="0"/>
          <w:sz w:val="32"/>
          <w:szCs w:val="32"/>
          <w:bdr w:val="none" w:color="auto" w:sz="0" w:space="0"/>
          <w:shd w:val="clear" w:fill="FFFFFF"/>
        </w:rPr>
        <w:t>为满足群众关注的信息需求，针对群众关心的问题，加强了对政策的解读和宣传，通过文字、图片、视频等多种形式及时发布政策解读</w:t>
      </w:r>
      <w:r>
        <w:rPr>
          <w:rFonts w:hint="default" w:ascii="Times New Roman" w:hAnsi="Times New Roman" w:eastAsia="方正仿宋_GBK" w:cs="Times New Roman"/>
          <w:b w:val="0"/>
          <w:bCs w:val="0"/>
          <w:i w:val="0"/>
          <w:iCs w:val="0"/>
          <w:caps w:val="0"/>
          <w:color w:val="333333"/>
          <w:spacing w:val="0"/>
          <w:sz w:val="32"/>
          <w:szCs w:val="32"/>
          <w:bdr w:val="none" w:color="auto" w:sz="0" w:space="0"/>
          <w:shd w:val="clear" w:fill="FFFFFF"/>
        </w:rPr>
        <w:t>6</w:t>
      </w:r>
      <w:r>
        <w:rPr>
          <w:rFonts w:hint="default" w:ascii="Times New Roman" w:hAnsi="Times New Roman" w:eastAsia="方正仿宋_GBK" w:cs="Times New Roman"/>
          <w:b w:val="0"/>
          <w:bCs w:val="0"/>
          <w:i w:val="0"/>
          <w:iCs w:val="0"/>
          <w:caps w:val="0"/>
          <w:color w:val="333333"/>
          <w:spacing w:val="0"/>
          <w:sz w:val="32"/>
          <w:szCs w:val="32"/>
          <w:bdr w:val="none" w:color="auto" w:sz="0" w:space="0"/>
          <w:shd w:val="clear" w:fill="FFFFFF"/>
        </w:rPr>
        <w:t>条、回应关切</w:t>
      </w:r>
      <w:r>
        <w:rPr>
          <w:rFonts w:hint="default" w:ascii="Times New Roman" w:hAnsi="Times New Roman" w:eastAsia="方正仿宋_GBK" w:cs="Times New Roman"/>
          <w:b w:val="0"/>
          <w:bCs w:val="0"/>
          <w:i w:val="0"/>
          <w:iCs w:val="0"/>
          <w:caps w:val="0"/>
          <w:color w:val="333333"/>
          <w:spacing w:val="0"/>
          <w:sz w:val="32"/>
          <w:szCs w:val="32"/>
          <w:bdr w:val="none" w:color="auto" w:sz="0" w:space="0"/>
          <w:shd w:val="clear" w:fill="FFFFFF"/>
        </w:rPr>
        <w:t>88</w:t>
      </w:r>
      <w:r>
        <w:rPr>
          <w:rFonts w:hint="default" w:ascii="Times New Roman" w:hAnsi="Times New Roman" w:eastAsia="方正仿宋_GBK" w:cs="Times New Roman"/>
          <w:b w:val="0"/>
          <w:bCs w:val="0"/>
          <w:i w:val="0"/>
          <w:iCs w:val="0"/>
          <w:caps w:val="0"/>
          <w:color w:val="333333"/>
          <w:spacing w:val="0"/>
          <w:sz w:val="32"/>
          <w:szCs w:val="32"/>
          <w:bdr w:val="none" w:color="auto" w:sz="0" w:space="0"/>
          <w:shd w:val="clear" w:fill="FFFFFF"/>
        </w:rPr>
        <w:t>条，涉及社会保障、安全生产等各个方面。</w:t>
      </w: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三是提升“两化”领域信息质量。</w:t>
      </w:r>
      <w:r>
        <w:rPr>
          <w:rFonts w:hint="default" w:ascii="Times New Roman" w:hAnsi="Times New Roman" w:eastAsia="方正仿宋_GBK" w:cs="Times New Roman"/>
          <w:b w:val="0"/>
          <w:bCs w:val="0"/>
          <w:i w:val="0"/>
          <w:iCs w:val="0"/>
          <w:caps w:val="0"/>
          <w:color w:val="333333"/>
          <w:spacing w:val="0"/>
          <w:sz w:val="32"/>
          <w:szCs w:val="32"/>
          <w:bdr w:val="none" w:color="auto" w:sz="0" w:space="0"/>
          <w:shd w:val="clear" w:fill="FFFFFF"/>
        </w:rPr>
        <w:t>高度重视“两化”领域信息公开，坚持便民利民、公开公正的原则，重点发布群众关心的各类事项，本年度公开社会救助类信息</w:t>
      </w:r>
      <w:r>
        <w:rPr>
          <w:rFonts w:hint="default" w:ascii="Times New Roman" w:hAnsi="Times New Roman" w:eastAsia="方正仿宋_GBK" w:cs="Times New Roman"/>
          <w:b w:val="0"/>
          <w:bCs w:val="0"/>
          <w:i w:val="0"/>
          <w:iCs w:val="0"/>
          <w:caps w:val="0"/>
          <w:color w:val="333333"/>
          <w:spacing w:val="0"/>
          <w:sz w:val="32"/>
          <w:szCs w:val="32"/>
          <w:bdr w:val="none" w:color="auto" w:sz="0" w:space="0"/>
          <w:shd w:val="clear" w:fill="FFFFFF"/>
        </w:rPr>
        <w:t>104</w:t>
      </w:r>
      <w:r>
        <w:rPr>
          <w:rFonts w:hint="default" w:ascii="Times New Roman" w:hAnsi="Times New Roman" w:eastAsia="方正仿宋_GBK" w:cs="Times New Roman"/>
          <w:b w:val="0"/>
          <w:bCs w:val="0"/>
          <w:i w:val="0"/>
          <w:iCs w:val="0"/>
          <w:caps w:val="0"/>
          <w:color w:val="333333"/>
          <w:spacing w:val="0"/>
          <w:sz w:val="32"/>
          <w:szCs w:val="32"/>
          <w:bdr w:val="none" w:color="auto" w:sz="0" w:space="0"/>
          <w:shd w:val="clear" w:fill="FFFFFF"/>
        </w:rPr>
        <w:t>条、救灾类信息</w:t>
      </w:r>
      <w:r>
        <w:rPr>
          <w:rFonts w:hint="default" w:ascii="Times New Roman" w:hAnsi="Times New Roman" w:eastAsia="方正仿宋_GBK" w:cs="Times New Roman"/>
          <w:b w:val="0"/>
          <w:bCs w:val="0"/>
          <w:i w:val="0"/>
          <w:iCs w:val="0"/>
          <w:caps w:val="0"/>
          <w:color w:val="333333"/>
          <w:spacing w:val="0"/>
          <w:sz w:val="32"/>
          <w:szCs w:val="32"/>
          <w:bdr w:val="none" w:color="auto" w:sz="0" w:space="0"/>
          <w:shd w:val="clear" w:fill="FFFFFF"/>
        </w:rPr>
        <w:t>36</w:t>
      </w:r>
      <w:r>
        <w:rPr>
          <w:rFonts w:hint="default" w:ascii="Times New Roman" w:hAnsi="Times New Roman" w:eastAsia="方正仿宋_GBK" w:cs="Times New Roman"/>
          <w:b w:val="0"/>
          <w:bCs w:val="0"/>
          <w:i w:val="0"/>
          <w:iCs w:val="0"/>
          <w:caps w:val="0"/>
          <w:color w:val="333333"/>
          <w:spacing w:val="0"/>
          <w:sz w:val="32"/>
          <w:szCs w:val="32"/>
          <w:bdr w:val="none" w:color="auto" w:sz="0" w:space="0"/>
          <w:shd w:val="clear" w:fill="FFFFFF"/>
        </w:rPr>
        <w:t>条，有效保障了群众的知情权。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480"/>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方正楷体_GBK" w:cs="Times New Roman"/>
          <w:b/>
          <w:bCs/>
          <w:i w:val="0"/>
          <w:iCs w:val="0"/>
          <w:caps w:val="0"/>
          <w:color w:val="333333"/>
          <w:spacing w:val="0"/>
          <w:sz w:val="32"/>
          <w:szCs w:val="32"/>
          <w:bdr w:val="none" w:color="auto" w:sz="0" w:space="0"/>
          <w:shd w:val="clear" w:fill="FFFFFF"/>
        </w:rPr>
        <w:t>（二）依申请公开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480"/>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加强政府信息公开指南维护，保障线上、线下受理渠道畅通。开展依申请公开培训，加强法律法规等业务知识学习，保障依申请公开受理规范。今年未收到依申请公开信息，未产生行政复议及行政诉讼。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480"/>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方正楷体_GBK" w:cs="Times New Roman"/>
          <w:b/>
          <w:bCs/>
          <w:i w:val="0"/>
          <w:iCs w:val="0"/>
          <w:caps w:val="0"/>
          <w:color w:val="333333"/>
          <w:spacing w:val="0"/>
          <w:sz w:val="32"/>
          <w:szCs w:val="32"/>
          <w:bdr w:val="none" w:color="auto" w:sz="0" w:space="0"/>
          <w:shd w:val="clear" w:fill="FFFFFF"/>
        </w:rPr>
        <w:t>（三）政府信息管理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480"/>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一是</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加强政府信息公开审核工作，制定政府信息公开保密审查工作规定，进一步明确审查程序、审查内容，规范网站信息发布流程，严格履行信息发布审核程序，定期审查已发布信息。</w:t>
      </w: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二是</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开展行政规范性文件清理工作。系统梳理我镇制发的行政规范性文件，按照文件自身效力情况及时进行立改废，对行政规范性文件开展清理工作，经镇党政联席会议审议决定废止</w:t>
      </w:r>
      <w:r>
        <w:rPr>
          <w:rFonts w:hint="default" w:ascii="Times New Roman" w:hAnsi="Times New Roman" w:eastAsia="仿宋_GB2312" w:cs="Times New Roman"/>
          <w:i w:val="0"/>
          <w:iCs w:val="0"/>
          <w:caps w:val="0"/>
          <w:color w:val="333333"/>
          <w:spacing w:val="0"/>
          <w:sz w:val="32"/>
          <w:szCs w:val="32"/>
          <w:bdr w:val="none" w:color="auto" w:sz="0" w:space="0"/>
          <w:shd w:val="clear" w:fill="FFFFFF"/>
        </w:rPr>
        <w:t>3</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件，通过网站集中统一对外公开，做到动态更新。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方正楷体_GBK" w:cs="Times New Roman"/>
          <w:b/>
          <w:bCs/>
          <w:i w:val="0"/>
          <w:iCs w:val="0"/>
          <w:caps w:val="0"/>
          <w:color w:val="333333"/>
          <w:spacing w:val="0"/>
          <w:sz w:val="32"/>
          <w:szCs w:val="32"/>
          <w:bdr w:val="none" w:color="auto" w:sz="0" w:space="0"/>
          <w:shd w:val="clear" w:fill="FFFFFF"/>
        </w:rPr>
        <w:t>（四）政府信息公开平台建设情况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今年以来，按照县政府政务公开办工作要求，双河镇积极行动，及时更新并充实公开内容，持续优化专栏设置。重新梳理财政专项资金管理和使用情况等栏目，方便群众查阅。不断加大政府信息公开力度，利用政务新媒体、热线服务平台、政务公开专区等切实保障公众的知情权、参与权和监督权，提升群众获得感、幸福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480"/>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方正楷体_GBK" w:cs="Times New Roman"/>
          <w:b/>
          <w:bCs/>
          <w:i w:val="0"/>
          <w:iCs w:val="0"/>
          <w:caps w:val="0"/>
          <w:color w:val="333333"/>
          <w:spacing w:val="0"/>
          <w:sz w:val="32"/>
          <w:szCs w:val="32"/>
          <w:bdr w:val="none" w:color="auto" w:sz="0" w:space="0"/>
          <w:shd w:val="clear" w:fill="FFFFFF"/>
        </w:rPr>
        <w:t>（五）监督保障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480"/>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一是</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健全完善组织领导机制。根据县政务公开工作要求，及时调整双河镇政务公开工作领导小组，形成主要领导统筹推动、分管领导紧盯紧抓、相关部门各负其责的政务公开工作运行机制。</w:t>
      </w: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二是</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完善政府信息公开工作制度。坚持督查增效，建立常态化监管机制，将市、县每月监测情况，作为对政务公开工作人员考核的重要指标，推动各村各部门配合，积极做好信息公开工作。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方正黑体_GBK" w:cs="Times New Roman"/>
          <w:i w:val="0"/>
          <w:iCs w:val="0"/>
          <w:caps w:val="0"/>
          <w:color w:val="333333"/>
          <w:spacing w:val="0"/>
          <w:sz w:val="32"/>
          <w:szCs w:val="32"/>
          <w:bdr w:val="none" w:color="auto" w:sz="0" w:space="0"/>
          <w:shd w:val="clear" w:fill="FFFFFF"/>
        </w:rPr>
        <w:t>二、主动公开政府信息情况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single" w:color="auto" w:sz="6" w:space="0"/>
              <w:left w:val="single" w:color="auto" w:sz="6" w:space="0"/>
              <w:bottom w:val="single" w:color="auto" w:sz="6" w:space="0"/>
              <w:right w:val="single" w:color="auto" w:sz="6" w:space="0"/>
            </w:tcBorders>
            <w:shd w:val="clear" w:color="auto" w:fill="C6D9F1"/>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信息内容</w:t>
            </w:r>
          </w:p>
        </w:tc>
        <w:tc>
          <w:tcPr>
            <w:tcW w:w="2435" w:type="dxa"/>
            <w:tcBorders>
              <w:top w:val="single" w:color="auto" w:sz="6" w:space="0"/>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本年制发件数</w:t>
            </w:r>
          </w:p>
        </w:tc>
        <w:tc>
          <w:tcPr>
            <w:tcW w:w="2435" w:type="dxa"/>
            <w:tcBorders>
              <w:top w:val="single" w:color="auto" w:sz="6" w:space="0"/>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本年废止件数</w:t>
            </w:r>
          </w:p>
        </w:tc>
        <w:tc>
          <w:tcPr>
            <w:tcW w:w="2435" w:type="dxa"/>
            <w:tcBorders>
              <w:top w:val="single" w:color="auto" w:sz="6" w:space="0"/>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规章</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行政规范性文件</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2</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3</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信息内容</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行政许可</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1"/>
                <w:szCs w:val="21"/>
                <w:bdr w:val="none" w:color="auto" w:sz="0" w:space="0"/>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信息内容</w:t>
            </w:r>
          </w:p>
        </w:tc>
        <w:tc>
          <w:tcPr>
            <w:tcW w:w="7305" w:type="dxa"/>
            <w:gridSpan w:val="3"/>
            <w:tcBorders>
              <w:top w:val="single" w:color="auto" w:sz="6" w:space="0"/>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行政处罚</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行政强制</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信息内容</w:t>
            </w:r>
          </w:p>
        </w:tc>
        <w:tc>
          <w:tcPr>
            <w:tcW w:w="7305" w:type="dxa"/>
            <w:gridSpan w:val="3"/>
            <w:tcBorders>
              <w:top w:val="nil"/>
              <w:left w:val="nil"/>
              <w:bottom w:val="single" w:color="auto" w:sz="6" w:space="0"/>
              <w:right w:val="single" w:color="000000"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行政事业性收费</w:t>
            </w:r>
          </w:p>
        </w:tc>
        <w:tc>
          <w:tcPr>
            <w:tcW w:w="7305" w:type="dxa"/>
            <w:gridSpan w:val="3"/>
            <w:tcBorders>
              <w:top w:val="nil"/>
              <w:left w:val="nil"/>
              <w:bottom w:val="single" w:color="auto" w:sz="6" w:space="0"/>
              <w:right w:val="single" w:color="000000"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sz w:val="24"/>
          <w:szCs w:val="24"/>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方正黑体_GBK" w:cs="Times New Roman"/>
          <w:i w:val="0"/>
          <w:iCs w:val="0"/>
          <w:caps w:val="0"/>
          <w:color w:val="333333"/>
          <w:spacing w:val="0"/>
          <w:sz w:val="32"/>
          <w:szCs w:val="32"/>
          <w:bdr w:val="none" w:color="auto" w:sz="0" w:space="0"/>
          <w:shd w:val="clear" w:fill="FFFFFF"/>
        </w:rPr>
        <w:t>三、收到和处理政府信息公开申请情况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sz w:val="24"/>
          <w:szCs w:val="24"/>
          <w:bdr w:val="none" w:color="auto" w:sz="0" w:space="0"/>
          <w:shd w:val="clear" w:fill="FFFFFF"/>
        </w:rPr>
        <w:t> </w:t>
      </w:r>
    </w:p>
    <w:tbl>
      <w:tblPr>
        <w:tblW w:w="97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929" w:type="dxa"/>
            <w:gridSpan w:val="3"/>
            <w:vMerge w:val="restart"/>
            <w:tcBorders>
              <w:top w:val="single" w:color="auto" w:sz="6" w:space="0"/>
              <w:left w:val="single" w:color="auto" w:sz="6" w:space="0"/>
              <w:bottom w:val="outset"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20"/>
                <w:szCs w:val="20"/>
                <w:bdr w:val="none" w:color="auto" w:sz="0" w:space="0"/>
              </w:rPr>
              <w:t>（本列数据的勾稽关系为：第一项加第二项之和，等于第三项加第四项之和）</w:t>
            </w:r>
          </w:p>
        </w:tc>
        <w:tc>
          <w:tcPr>
            <w:tcW w:w="4816" w:type="dxa"/>
            <w:gridSpan w:val="7"/>
            <w:tcBorders>
              <w:top w:val="single" w:color="auto" w:sz="6" w:space="0"/>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29" w:type="dxa"/>
            <w:gridSpan w:val="3"/>
            <w:vMerge w:val="continue"/>
            <w:tcBorders>
              <w:top w:val="single" w:color="auto" w:sz="6" w:space="0"/>
              <w:left w:val="single" w:color="auto" w:sz="6" w:space="0"/>
              <w:bottom w:val="outset" w:color="auto" w:sz="6" w:space="0"/>
              <w:right w:val="single" w:color="auto" w:sz="6" w:space="0"/>
            </w:tcBorders>
            <w:shd w:val="clear"/>
            <w:tcMar>
              <w:left w:w="108" w:type="dxa"/>
              <w:right w:w="108"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688" w:type="dxa"/>
            <w:vMerge w:val="restart"/>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自然人</w:t>
            </w:r>
          </w:p>
        </w:tc>
        <w:tc>
          <w:tcPr>
            <w:tcW w:w="3440" w:type="dxa"/>
            <w:gridSpan w:val="5"/>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法人或其他组织</w:t>
            </w:r>
          </w:p>
        </w:tc>
        <w:tc>
          <w:tcPr>
            <w:tcW w:w="688" w:type="dxa"/>
            <w:vMerge w:val="restart"/>
            <w:tcBorders>
              <w:top w:val="single" w:color="auto" w:sz="6" w:space="0"/>
              <w:left w:val="nil"/>
              <w:bottom w:val="outset"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29" w:type="dxa"/>
            <w:gridSpan w:val="3"/>
            <w:vMerge w:val="continue"/>
            <w:tcBorders>
              <w:top w:val="single" w:color="auto" w:sz="6" w:space="0"/>
              <w:left w:val="single" w:color="auto" w:sz="6" w:space="0"/>
              <w:bottom w:val="outset" w:color="auto" w:sz="6" w:space="0"/>
              <w:right w:val="single" w:color="auto" w:sz="6" w:space="0"/>
            </w:tcBorders>
            <w:shd w:val="clear"/>
            <w:tcMar>
              <w:left w:w="108" w:type="dxa"/>
              <w:right w:w="108"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688" w:type="dxa"/>
            <w:vMerge w:val="continue"/>
            <w:tcBorders>
              <w:top w:val="nil"/>
              <w:left w:val="nil"/>
              <w:bottom w:val="single"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688"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商业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企业</w:t>
            </w:r>
          </w:p>
        </w:tc>
        <w:tc>
          <w:tcPr>
            <w:tcW w:w="688"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科研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机构</w:t>
            </w:r>
          </w:p>
        </w:tc>
        <w:tc>
          <w:tcPr>
            <w:tcW w:w="688"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社会公益组织</w:t>
            </w:r>
          </w:p>
        </w:tc>
        <w:tc>
          <w:tcPr>
            <w:tcW w:w="688"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法律服务机构</w:t>
            </w:r>
          </w:p>
        </w:tc>
        <w:tc>
          <w:tcPr>
            <w:tcW w:w="688"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其他</w:t>
            </w:r>
          </w:p>
        </w:tc>
        <w:tc>
          <w:tcPr>
            <w:tcW w:w="688" w:type="dxa"/>
            <w:vMerge w:val="continue"/>
            <w:tcBorders>
              <w:top w:val="single" w:color="auto" w:sz="6" w:space="0"/>
              <w:left w:val="nil"/>
              <w:bottom w:val="outset" w:color="auto" w:sz="6" w:space="0"/>
              <w:right w:val="single" w:color="auto" w:sz="6" w:space="0"/>
            </w:tcBorders>
            <w:shd w:val="clear"/>
            <w:tcMar>
              <w:left w:w="108" w:type="dxa"/>
              <w:right w:w="108"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一、本年新收政府信息公开申请数量</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二、上年结转政府信息公开申请数量</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restart"/>
            <w:tcBorders>
              <w:top w:val="nil"/>
              <w:left w:val="single" w:color="auto" w:sz="6" w:space="0"/>
              <w:bottom w:val="outset"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三、本年度办理结果</w:t>
            </w:r>
          </w:p>
        </w:tc>
        <w:tc>
          <w:tcPr>
            <w:tcW w:w="4162" w:type="dxa"/>
            <w:gridSpan w:val="2"/>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（一）予以公开</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single" w:color="auto" w:sz="6" w:space="0"/>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4162" w:type="dxa"/>
            <w:gridSpan w:val="2"/>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（二）部分公开</w:t>
            </w:r>
            <w:r>
              <w:rPr>
                <w:rFonts w:hint="default" w:ascii="Times New Roman" w:hAnsi="Times New Roman" w:eastAsia="楷体" w:cs="Times New Roman"/>
                <w:sz w:val="20"/>
                <w:szCs w:val="20"/>
                <w:bdr w:val="none" w:color="auto" w:sz="0" w:space="0"/>
              </w:rPr>
              <w:t>（区分处理的，只计这一情形，不计其他情形）</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943" w:type="dxa"/>
            <w:vMerge w:val="restart"/>
            <w:tcBorders>
              <w:top w:val="nil"/>
              <w:left w:val="nil"/>
              <w:bottom w:val="outset"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（三）不予公开</w:t>
            </w: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1.</w:t>
            </w:r>
            <w:r>
              <w:rPr>
                <w:rFonts w:hint="default" w:ascii="Times New Roman" w:hAnsi="Times New Roman" w:eastAsia="宋体" w:cs="Times New Roman"/>
                <w:sz w:val="20"/>
                <w:szCs w:val="20"/>
                <w:bdr w:val="none" w:color="auto" w:sz="0" w:space="0"/>
              </w:rPr>
              <w:t>属于国家秘密</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single" w:color="auto" w:sz="6" w:space="0"/>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2.</w:t>
            </w:r>
            <w:r>
              <w:rPr>
                <w:rFonts w:hint="default" w:ascii="Times New Roman" w:hAnsi="Times New Roman" w:eastAsia="宋体" w:cs="Times New Roman"/>
                <w:sz w:val="20"/>
                <w:szCs w:val="20"/>
                <w:bdr w:val="none" w:color="auto" w:sz="0" w:space="0"/>
              </w:rPr>
              <w:t>其他法律行政法规禁止公开</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3.</w:t>
            </w:r>
            <w:r>
              <w:rPr>
                <w:rFonts w:hint="default" w:ascii="Times New Roman" w:hAnsi="Times New Roman" w:eastAsia="宋体" w:cs="Times New Roman"/>
                <w:sz w:val="20"/>
                <w:szCs w:val="20"/>
                <w:bdr w:val="none" w:color="auto" w:sz="0" w:space="0"/>
              </w:rPr>
              <w:t>危及</w:t>
            </w:r>
            <w:r>
              <w:rPr>
                <w:rFonts w:hint="default" w:ascii="Times New Roman" w:hAnsi="Times New Roman" w:eastAsia="仿宋_GB2312" w:cs="Times New Roman"/>
                <w:sz w:val="20"/>
                <w:szCs w:val="20"/>
                <w:bdr w:val="none" w:color="auto" w:sz="0" w:space="0"/>
              </w:rPr>
              <w:t>“</w:t>
            </w:r>
            <w:r>
              <w:rPr>
                <w:rFonts w:hint="default" w:ascii="Times New Roman" w:hAnsi="Times New Roman" w:eastAsia="宋体" w:cs="Times New Roman"/>
                <w:sz w:val="20"/>
                <w:szCs w:val="20"/>
                <w:bdr w:val="none" w:color="auto" w:sz="0" w:space="0"/>
              </w:rPr>
              <w:t>三安全一稳定</w:t>
            </w:r>
            <w:r>
              <w:rPr>
                <w:rFonts w:hint="default" w:ascii="Times New Roman" w:hAnsi="Times New Roman" w:eastAsia="仿宋_GB2312" w:cs="Times New Roman"/>
                <w:sz w:val="20"/>
                <w:szCs w:val="20"/>
                <w:bdr w:val="none" w:color="auto" w:sz="0" w:space="0"/>
              </w:rPr>
              <w:t>”</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4.</w:t>
            </w:r>
            <w:r>
              <w:rPr>
                <w:rFonts w:hint="default" w:ascii="Times New Roman" w:hAnsi="Times New Roman" w:eastAsia="宋体" w:cs="Times New Roman"/>
                <w:sz w:val="20"/>
                <w:szCs w:val="20"/>
                <w:bdr w:val="none" w:color="auto" w:sz="0" w:space="0"/>
              </w:rPr>
              <w:t>保护第三方合法权益</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5.</w:t>
            </w:r>
            <w:r>
              <w:rPr>
                <w:rFonts w:hint="default" w:ascii="Times New Roman" w:hAnsi="Times New Roman" w:eastAsia="宋体" w:cs="Times New Roman"/>
                <w:sz w:val="20"/>
                <w:szCs w:val="20"/>
                <w:bdr w:val="none" w:color="auto" w:sz="0" w:space="0"/>
              </w:rPr>
              <w:t>属于三类内部事务信息</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6.</w:t>
            </w:r>
            <w:r>
              <w:rPr>
                <w:rFonts w:hint="default" w:ascii="Times New Roman" w:hAnsi="Times New Roman" w:eastAsia="宋体" w:cs="Times New Roman"/>
                <w:sz w:val="20"/>
                <w:szCs w:val="20"/>
                <w:bdr w:val="none" w:color="auto" w:sz="0" w:space="0"/>
              </w:rPr>
              <w:t>属于四类过程性信息</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7.</w:t>
            </w:r>
            <w:r>
              <w:rPr>
                <w:rFonts w:hint="default" w:ascii="Times New Roman" w:hAnsi="Times New Roman" w:eastAsia="宋体" w:cs="Times New Roman"/>
                <w:sz w:val="20"/>
                <w:szCs w:val="20"/>
                <w:bdr w:val="none" w:color="auto" w:sz="0" w:space="0"/>
              </w:rPr>
              <w:t>属于行政执法案卷</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8.</w:t>
            </w:r>
            <w:r>
              <w:rPr>
                <w:rFonts w:hint="default" w:ascii="Times New Roman" w:hAnsi="Times New Roman" w:eastAsia="宋体" w:cs="Times New Roman"/>
                <w:sz w:val="20"/>
                <w:szCs w:val="20"/>
                <w:bdr w:val="none" w:color="auto" w:sz="0" w:space="0"/>
              </w:rPr>
              <w:t>属于行政查询事项</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943" w:type="dxa"/>
            <w:vMerge w:val="restart"/>
            <w:tcBorders>
              <w:top w:val="nil"/>
              <w:left w:val="nil"/>
              <w:bottom w:val="outset"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（四）无法提供</w:t>
            </w: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1.</w:t>
            </w:r>
            <w:r>
              <w:rPr>
                <w:rFonts w:hint="default" w:ascii="Times New Roman" w:hAnsi="Times New Roman" w:eastAsia="宋体" w:cs="Times New Roman"/>
                <w:sz w:val="20"/>
                <w:szCs w:val="20"/>
                <w:bdr w:val="none" w:color="auto" w:sz="0" w:space="0"/>
              </w:rPr>
              <w:t>本机关不掌握相关政府信息</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2.</w:t>
            </w:r>
            <w:r>
              <w:rPr>
                <w:rFonts w:hint="default" w:ascii="Times New Roman" w:hAnsi="Times New Roman" w:eastAsia="宋体" w:cs="Times New Roman"/>
                <w:sz w:val="20"/>
                <w:szCs w:val="20"/>
                <w:bdr w:val="none" w:color="auto" w:sz="0" w:space="0"/>
              </w:rPr>
              <w:t>没有现成信息需要另行制作</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3.</w:t>
            </w:r>
            <w:r>
              <w:rPr>
                <w:rFonts w:hint="default" w:ascii="Times New Roman" w:hAnsi="Times New Roman" w:eastAsia="宋体" w:cs="Times New Roman"/>
                <w:sz w:val="20"/>
                <w:szCs w:val="20"/>
                <w:bdr w:val="none" w:color="auto" w:sz="0" w:space="0"/>
              </w:rPr>
              <w:t>补正后申请内容仍不明确</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943" w:type="dxa"/>
            <w:vMerge w:val="restart"/>
            <w:tcBorders>
              <w:top w:val="nil"/>
              <w:left w:val="nil"/>
              <w:bottom w:val="outset"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（五）不予处理</w:t>
            </w: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1.</w:t>
            </w:r>
            <w:r>
              <w:rPr>
                <w:rFonts w:hint="default" w:ascii="Times New Roman" w:hAnsi="Times New Roman" w:eastAsia="宋体" w:cs="Times New Roman"/>
                <w:sz w:val="20"/>
                <w:szCs w:val="20"/>
                <w:bdr w:val="none" w:color="auto" w:sz="0" w:space="0"/>
              </w:rPr>
              <w:t>信访举报投诉类申请</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2.</w:t>
            </w:r>
            <w:r>
              <w:rPr>
                <w:rFonts w:hint="default" w:ascii="Times New Roman" w:hAnsi="Times New Roman" w:eastAsia="宋体" w:cs="Times New Roman"/>
                <w:sz w:val="20"/>
                <w:szCs w:val="20"/>
                <w:bdr w:val="none" w:color="auto" w:sz="0" w:space="0"/>
              </w:rPr>
              <w:t>重复申请</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3.</w:t>
            </w:r>
            <w:r>
              <w:rPr>
                <w:rFonts w:hint="default" w:ascii="Times New Roman" w:hAnsi="Times New Roman" w:eastAsia="宋体" w:cs="Times New Roman"/>
                <w:sz w:val="20"/>
                <w:szCs w:val="20"/>
                <w:bdr w:val="none" w:color="auto" w:sz="0" w:space="0"/>
              </w:rPr>
              <w:t>要求提供公开出版物</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4.</w:t>
            </w:r>
            <w:r>
              <w:rPr>
                <w:rFonts w:hint="default" w:ascii="Times New Roman" w:hAnsi="Times New Roman" w:eastAsia="宋体" w:cs="Times New Roman"/>
                <w:sz w:val="20"/>
                <w:szCs w:val="20"/>
                <w:bdr w:val="none" w:color="auto" w:sz="0" w:space="0"/>
              </w:rPr>
              <w:t>无正当理由大量反复申请</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6" w:space="0"/>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3219" w:type="dxa"/>
            <w:tcBorders>
              <w:top w:val="nil"/>
              <w:left w:val="nil"/>
              <w:bottom w:val="outset"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5.</w:t>
            </w:r>
            <w:r>
              <w:rPr>
                <w:rFonts w:hint="default" w:ascii="Times New Roman" w:hAnsi="Times New Roman" w:eastAsia="宋体" w:cs="Times New Roman"/>
                <w:sz w:val="20"/>
                <w:szCs w:val="20"/>
                <w:bdr w:val="none" w:color="auto" w:sz="0" w:space="0"/>
              </w:rPr>
              <w:t>要求行政机关确认或重新出具已获取信息</w:t>
            </w:r>
          </w:p>
        </w:tc>
        <w:tc>
          <w:tcPr>
            <w:tcW w:w="688" w:type="dxa"/>
            <w:tcBorders>
              <w:top w:val="nil"/>
              <w:left w:val="nil"/>
              <w:bottom w:val="outset"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outset"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outset"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outset"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outset"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outset"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outset"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943" w:type="dxa"/>
            <w:vMerge w:val="restart"/>
            <w:tcBorders>
              <w:top w:val="nil"/>
              <w:left w:val="nil"/>
              <w:bottom w:val="outset"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（六）其他处理</w:t>
            </w:r>
          </w:p>
        </w:tc>
        <w:tc>
          <w:tcPr>
            <w:tcW w:w="3219"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1.</w:t>
            </w:r>
            <w:r>
              <w:rPr>
                <w:rFonts w:hint="default" w:ascii="Times New Roman" w:hAnsi="Times New Roman" w:eastAsia="宋体" w:cs="Times New Roman"/>
                <w:sz w:val="20"/>
                <w:szCs w:val="20"/>
                <w:bdr w:val="none" w:color="auto" w:sz="0" w:space="0"/>
              </w:rPr>
              <w:t>申请人无正当理由逾期不补正、行政机关不再处理其政府信息公开申请</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2.</w:t>
            </w:r>
            <w:r>
              <w:rPr>
                <w:rFonts w:hint="default" w:ascii="Times New Roman" w:hAnsi="Times New Roman" w:eastAsia="宋体" w:cs="Times New Roman"/>
                <w:sz w:val="20"/>
                <w:szCs w:val="20"/>
                <w:bdr w:val="none" w:color="auto" w:sz="0" w:space="0"/>
              </w:rPr>
              <w:t>申请人逾期未按收费通知要求缴纳费用、行政机关不再处理其政府信息公开申请</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3219"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3.</w:t>
            </w:r>
            <w:r>
              <w:rPr>
                <w:rFonts w:hint="default" w:ascii="Times New Roman" w:hAnsi="Times New Roman" w:eastAsia="宋体" w:cs="Times New Roman"/>
                <w:sz w:val="20"/>
                <w:szCs w:val="20"/>
                <w:bdr w:val="none" w:color="auto" w:sz="0" w:space="0"/>
              </w:rPr>
              <w:t>其他</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left w:w="57" w:type="dxa"/>
              <w:right w:w="57"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4162" w:type="dxa"/>
            <w:gridSpan w:val="2"/>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（七）总计</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四、结转下年度继续办理</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sz w:val="24"/>
          <w:szCs w:val="24"/>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420"/>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方正黑体_GBK" w:cs="Times New Roman"/>
          <w:i w:val="0"/>
          <w:iCs w:val="0"/>
          <w:caps w:val="0"/>
          <w:color w:val="333333"/>
          <w:spacing w:val="0"/>
          <w:sz w:val="32"/>
          <w:szCs w:val="32"/>
          <w:bdr w:val="none" w:color="auto" w:sz="0" w:space="0"/>
          <w:shd w:val="clear" w:fill="FFFFFF"/>
        </w:rPr>
        <w:t>四、政府信息公开行政复议、行政诉讼情况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bdr w:val="none" w:color="auto" w:sz="0" w:space="0"/>
          <w:shd w:val="clear" w:fill="FFFFFF"/>
        </w:rPr>
        <w:t> </w:t>
      </w:r>
    </w:p>
    <w:tbl>
      <w:tblPr>
        <w:tblW w:w="97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245" w:type="dxa"/>
            <w:gridSpan w:val="5"/>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行政复议</w:t>
            </w:r>
          </w:p>
        </w:tc>
        <w:tc>
          <w:tcPr>
            <w:tcW w:w="6498" w:type="dxa"/>
            <w:gridSpan w:val="10"/>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49" w:type="dxa"/>
            <w:vMerge w:val="restart"/>
            <w:tcBorders>
              <w:top w:val="nil"/>
              <w:left w:val="single" w:color="auto" w:sz="6" w:space="0"/>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结果维持</w:t>
            </w:r>
          </w:p>
        </w:tc>
        <w:tc>
          <w:tcPr>
            <w:tcW w:w="649" w:type="dxa"/>
            <w:vMerge w:val="restart"/>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结果</w:t>
            </w:r>
            <w:r>
              <w:rPr>
                <w:rFonts w:hint="default" w:ascii="Times New Roman" w:hAnsi="Times New Roman" w:eastAsia="仿宋_GB2312" w:cs="Times New Roman"/>
                <w:sz w:val="20"/>
                <w:szCs w:val="20"/>
                <w:bdr w:val="none" w:color="auto" w:sz="0" w:space="0"/>
              </w:rPr>
              <w:br w:type="textWrapping"/>
            </w:r>
            <w:r>
              <w:rPr>
                <w:rFonts w:hint="default" w:ascii="Times New Roman" w:hAnsi="Times New Roman" w:eastAsia="宋体" w:cs="Times New Roman"/>
                <w:sz w:val="20"/>
                <w:szCs w:val="20"/>
                <w:bdr w:val="none" w:color="auto" w:sz="0" w:space="0"/>
              </w:rPr>
              <w:t>纠正</w:t>
            </w:r>
          </w:p>
        </w:tc>
        <w:tc>
          <w:tcPr>
            <w:tcW w:w="649" w:type="dxa"/>
            <w:vMerge w:val="restart"/>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其他</w:t>
            </w:r>
            <w:r>
              <w:rPr>
                <w:rFonts w:hint="default" w:ascii="Times New Roman" w:hAnsi="Times New Roman" w:eastAsia="仿宋_GB2312" w:cs="Times New Roman"/>
                <w:sz w:val="20"/>
                <w:szCs w:val="20"/>
                <w:bdr w:val="none" w:color="auto" w:sz="0" w:space="0"/>
              </w:rPr>
              <w:br w:type="textWrapping"/>
            </w:r>
            <w:r>
              <w:rPr>
                <w:rFonts w:hint="default" w:ascii="Times New Roman" w:hAnsi="Times New Roman" w:eastAsia="宋体" w:cs="Times New Roman"/>
                <w:sz w:val="20"/>
                <w:szCs w:val="20"/>
                <w:bdr w:val="none" w:color="auto" w:sz="0" w:space="0"/>
              </w:rPr>
              <w:t>结果</w:t>
            </w:r>
          </w:p>
        </w:tc>
        <w:tc>
          <w:tcPr>
            <w:tcW w:w="649" w:type="dxa"/>
            <w:vMerge w:val="restart"/>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尚未</w:t>
            </w:r>
            <w:r>
              <w:rPr>
                <w:rFonts w:hint="default" w:ascii="Times New Roman" w:hAnsi="Times New Roman" w:eastAsia="仿宋_GB2312" w:cs="Times New Roman"/>
                <w:sz w:val="20"/>
                <w:szCs w:val="20"/>
                <w:bdr w:val="none" w:color="auto" w:sz="0" w:space="0"/>
              </w:rPr>
              <w:br w:type="textWrapping"/>
            </w:r>
            <w:r>
              <w:rPr>
                <w:rFonts w:hint="default" w:ascii="Times New Roman" w:hAnsi="Times New Roman" w:eastAsia="宋体" w:cs="Times New Roman"/>
                <w:sz w:val="20"/>
                <w:szCs w:val="20"/>
                <w:bdr w:val="none" w:color="auto" w:sz="0" w:space="0"/>
              </w:rPr>
              <w:t>审结</w:t>
            </w:r>
          </w:p>
        </w:tc>
        <w:tc>
          <w:tcPr>
            <w:tcW w:w="649" w:type="dxa"/>
            <w:vMerge w:val="restart"/>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总计</w:t>
            </w:r>
          </w:p>
        </w:tc>
        <w:tc>
          <w:tcPr>
            <w:tcW w:w="3248" w:type="dxa"/>
            <w:gridSpan w:val="5"/>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未经复议直接起诉</w:t>
            </w:r>
          </w:p>
        </w:tc>
        <w:tc>
          <w:tcPr>
            <w:tcW w:w="3250" w:type="dxa"/>
            <w:gridSpan w:val="5"/>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49" w:type="dxa"/>
            <w:vMerge w:val="continue"/>
            <w:tcBorders>
              <w:top w:val="nil"/>
              <w:left w:val="single" w:color="auto" w:sz="6" w:space="0"/>
              <w:bottom w:val="single" w:color="auto" w:sz="6" w:space="0"/>
              <w:right w:val="single" w:color="auto" w:sz="6" w:space="0"/>
            </w:tcBorders>
            <w:shd w:val="clear"/>
            <w:tcMar>
              <w:left w:w="108" w:type="dxa"/>
              <w:right w:w="108"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649" w:type="dxa"/>
            <w:vMerge w:val="continue"/>
            <w:tcBorders>
              <w:top w:val="nil"/>
              <w:left w:val="nil"/>
              <w:bottom w:val="single" w:color="auto" w:sz="6" w:space="0"/>
              <w:right w:val="single" w:color="auto" w:sz="6" w:space="0"/>
            </w:tcBorders>
            <w:shd w:val="clear"/>
            <w:tcMar>
              <w:left w:w="108" w:type="dxa"/>
              <w:right w:w="108"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left w:w="108" w:type="dxa"/>
              <w:right w:w="108"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left w:w="108" w:type="dxa"/>
              <w:right w:w="108"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left w:w="108" w:type="dxa"/>
              <w:right w:w="108" w:type="dxa"/>
            </w:tcMar>
            <w:vAlign w:val="center"/>
          </w:tcPr>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sz w:val="20"/>
                <w:szCs w:val="20"/>
              </w:rPr>
            </w:pP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结果</w:t>
            </w:r>
            <w:r>
              <w:rPr>
                <w:rFonts w:hint="default" w:ascii="Times New Roman" w:hAnsi="Times New Roman" w:eastAsia="仿宋_GB2312" w:cs="Times New Roman"/>
                <w:sz w:val="20"/>
                <w:szCs w:val="20"/>
                <w:bdr w:val="none" w:color="auto" w:sz="0" w:space="0"/>
              </w:rPr>
              <w:br w:type="textWrapping"/>
            </w:r>
            <w:r>
              <w:rPr>
                <w:rFonts w:hint="default" w:ascii="Times New Roman" w:hAnsi="Times New Roman" w:eastAsia="宋体" w:cs="Times New Roman"/>
                <w:sz w:val="20"/>
                <w:szCs w:val="20"/>
                <w:bdr w:val="none" w:color="auto" w:sz="0" w:space="0"/>
              </w:rPr>
              <w:t>维持</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结果</w:t>
            </w:r>
            <w:r>
              <w:rPr>
                <w:rFonts w:hint="default" w:ascii="Times New Roman" w:hAnsi="Times New Roman" w:eastAsia="仿宋_GB2312" w:cs="Times New Roman"/>
                <w:sz w:val="20"/>
                <w:szCs w:val="20"/>
                <w:bdr w:val="none" w:color="auto" w:sz="0" w:space="0"/>
              </w:rPr>
              <w:br w:type="textWrapping"/>
            </w:r>
            <w:r>
              <w:rPr>
                <w:rFonts w:hint="default" w:ascii="Times New Roman" w:hAnsi="Times New Roman" w:eastAsia="宋体" w:cs="Times New Roman"/>
                <w:sz w:val="20"/>
                <w:szCs w:val="20"/>
                <w:bdr w:val="none" w:color="auto" w:sz="0" w:space="0"/>
              </w:rPr>
              <w:t>纠正</w:t>
            </w:r>
          </w:p>
        </w:tc>
        <w:tc>
          <w:tcPr>
            <w:tcW w:w="650"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其他</w:t>
            </w:r>
            <w:r>
              <w:rPr>
                <w:rFonts w:hint="default" w:ascii="Times New Roman" w:hAnsi="Times New Roman" w:eastAsia="仿宋_GB2312" w:cs="Times New Roman"/>
                <w:sz w:val="20"/>
                <w:szCs w:val="20"/>
                <w:bdr w:val="none" w:color="auto" w:sz="0" w:space="0"/>
              </w:rPr>
              <w:br w:type="textWrapping"/>
            </w:r>
            <w:r>
              <w:rPr>
                <w:rFonts w:hint="default" w:ascii="Times New Roman" w:hAnsi="Times New Roman" w:eastAsia="宋体" w:cs="Times New Roman"/>
                <w:sz w:val="20"/>
                <w:szCs w:val="20"/>
                <w:bdr w:val="none" w:color="auto" w:sz="0" w:space="0"/>
              </w:rPr>
              <w:t>结果</w:t>
            </w:r>
          </w:p>
        </w:tc>
        <w:tc>
          <w:tcPr>
            <w:tcW w:w="650"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尚未</w:t>
            </w:r>
            <w:r>
              <w:rPr>
                <w:rFonts w:hint="default" w:ascii="Times New Roman" w:hAnsi="Times New Roman" w:eastAsia="仿宋_GB2312" w:cs="Times New Roman"/>
                <w:sz w:val="20"/>
                <w:szCs w:val="20"/>
                <w:bdr w:val="none" w:color="auto" w:sz="0" w:space="0"/>
              </w:rPr>
              <w:br w:type="textWrapping"/>
            </w:r>
            <w:r>
              <w:rPr>
                <w:rFonts w:hint="default" w:ascii="Times New Roman" w:hAnsi="Times New Roman" w:eastAsia="宋体" w:cs="Times New Roman"/>
                <w:sz w:val="20"/>
                <w:szCs w:val="20"/>
                <w:bdr w:val="none" w:color="auto" w:sz="0" w:space="0"/>
              </w:rPr>
              <w:t>审结</w:t>
            </w:r>
          </w:p>
        </w:tc>
        <w:tc>
          <w:tcPr>
            <w:tcW w:w="650"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总计</w:t>
            </w:r>
          </w:p>
        </w:tc>
        <w:tc>
          <w:tcPr>
            <w:tcW w:w="650"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结果</w:t>
            </w:r>
            <w:r>
              <w:rPr>
                <w:rFonts w:hint="default" w:ascii="Times New Roman" w:hAnsi="Times New Roman" w:eastAsia="仿宋_GB2312" w:cs="Times New Roman"/>
                <w:sz w:val="20"/>
                <w:szCs w:val="20"/>
                <w:bdr w:val="none" w:color="auto" w:sz="0" w:space="0"/>
              </w:rPr>
              <w:br w:type="textWrapping"/>
            </w:r>
            <w:r>
              <w:rPr>
                <w:rFonts w:hint="default" w:ascii="Times New Roman" w:hAnsi="Times New Roman" w:eastAsia="宋体" w:cs="Times New Roman"/>
                <w:sz w:val="20"/>
                <w:szCs w:val="20"/>
                <w:bdr w:val="none" w:color="auto" w:sz="0" w:space="0"/>
              </w:rPr>
              <w:t>维持</w:t>
            </w:r>
          </w:p>
        </w:tc>
        <w:tc>
          <w:tcPr>
            <w:tcW w:w="650"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结果</w:t>
            </w:r>
            <w:r>
              <w:rPr>
                <w:rFonts w:hint="default" w:ascii="Times New Roman" w:hAnsi="Times New Roman" w:eastAsia="仿宋_GB2312" w:cs="Times New Roman"/>
                <w:sz w:val="20"/>
                <w:szCs w:val="20"/>
                <w:bdr w:val="none" w:color="auto" w:sz="0" w:space="0"/>
              </w:rPr>
              <w:br w:type="textWrapping"/>
            </w:r>
            <w:r>
              <w:rPr>
                <w:rFonts w:hint="default" w:ascii="Times New Roman" w:hAnsi="Times New Roman" w:eastAsia="宋体" w:cs="Times New Roman"/>
                <w:sz w:val="20"/>
                <w:szCs w:val="20"/>
                <w:bdr w:val="none" w:color="auto" w:sz="0" w:space="0"/>
              </w:rPr>
              <w:t>纠正</w:t>
            </w:r>
          </w:p>
        </w:tc>
        <w:tc>
          <w:tcPr>
            <w:tcW w:w="650"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其他</w:t>
            </w:r>
            <w:r>
              <w:rPr>
                <w:rFonts w:hint="default" w:ascii="Times New Roman" w:hAnsi="Times New Roman" w:eastAsia="仿宋_GB2312" w:cs="Times New Roman"/>
                <w:sz w:val="20"/>
                <w:szCs w:val="20"/>
                <w:bdr w:val="none" w:color="auto" w:sz="0" w:space="0"/>
              </w:rPr>
              <w:br w:type="textWrapping"/>
            </w:r>
            <w:r>
              <w:rPr>
                <w:rFonts w:hint="default" w:ascii="Times New Roman" w:hAnsi="Times New Roman" w:eastAsia="宋体" w:cs="Times New Roman"/>
                <w:sz w:val="20"/>
                <w:szCs w:val="20"/>
                <w:bdr w:val="none" w:color="auto" w:sz="0" w:space="0"/>
              </w:rPr>
              <w:t>结果</w:t>
            </w:r>
          </w:p>
        </w:tc>
        <w:tc>
          <w:tcPr>
            <w:tcW w:w="650"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尚未</w:t>
            </w:r>
            <w:r>
              <w:rPr>
                <w:rFonts w:hint="default" w:ascii="Times New Roman" w:hAnsi="Times New Roman" w:eastAsia="仿宋_GB2312" w:cs="Times New Roman"/>
                <w:sz w:val="20"/>
                <w:szCs w:val="20"/>
                <w:bdr w:val="none" w:color="auto" w:sz="0" w:space="0"/>
              </w:rPr>
              <w:br w:type="textWrapping"/>
            </w:r>
            <w:r>
              <w:rPr>
                <w:rFonts w:hint="default" w:ascii="Times New Roman" w:hAnsi="Times New Roman" w:eastAsia="宋体" w:cs="Times New Roman"/>
                <w:sz w:val="20"/>
                <w:szCs w:val="20"/>
                <w:bdr w:val="none" w:color="auto" w:sz="0" w:space="0"/>
              </w:rPr>
              <w:t>审结</w:t>
            </w:r>
          </w:p>
        </w:tc>
        <w:tc>
          <w:tcPr>
            <w:tcW w:w="650"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sz w:val="20"/>
                <w:szCs w:val="20"/>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jc w:val="center"/>
        </w:trPr>
        <w:tc>
          <w:tcPr>
            <w:tcW w:w="649" w:type="dxa"/>
            <w:tcBorders>
              <w:top w:val="nil"/>
              <w:left w:val="single" w:color="auto" w:sz="6" w:space="0"/>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49" w:type="dxa"/>
            <w:tcBorders>
              <w:top w:val="nil"/>
              <w:left w:val="nil"/>
              <w:bottom w:val="single" w:color="auto" w:sz="6" w:space="0"/>
              <w:right w:val="single" w:color="auto" w:sz="6" w:space="0"/>
            </w:tcBorders>
            <w:shd w:val="clear"/>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c>
          <w:tcPr>
            <w:tcW w:w="650" w:type="dxa"/>
            <w:tcBorders>
              <w:top w:val="nil"/>
              <w:left w:val="nil"/>
              <w:bottom w:val="single" w:color="auto" w:sz="6" w:space="0"/>
              <w:right w:val="single" w:color="auto" w:sz="6" w:space="0"/>
            </w:tcBorders>
            <w:shd w:val="clear"/>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20"/>
                <w:bdr w:val="none" w:color="auto" w:sz="0" w:space="0"/>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方正黑体_GBK" w:cs="Times New Roman"/>
          <w:i w:val="0"/>
          <w:iCs w:val="0"/>
          <w:caps w:val="0"/>
          <w:color w:val="333333"/>
          <w:spacing w:val="0"/>
          <w:sz w:val="32"/>
          <w:szCs w:val="32"/>
          <w:bdr w:val="none" w:color="auto" w:sz="0" w:space="0"/>
          <w:shd w:val="clear"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仿宋_GB2312" w:cs="Times New Roman"/>
          <w:b/>
          <w:bCs/>
          <w:i w:val="0"/>
          <w:iCs w:val="0"/>
          <w:caps w:val="0"/>
          <w:color w:val="333333"/>
          <w:spacing w:val="0"/>
          <w:sz w:val="32"/>
          <w:szCs w:val="32"/>
          <w:bdr w:val="none" w:color="auto" w:sz="0" w:space="0"/>
          <w:shd w:val="clear" w:fill="FFFFFF"/>
        </w:rPr>
        <w:t>1.</w:t>
      </w:r>
      <w:r>
        <w:rPr>
          <w:rFonts w:hint="default" w:ascii="Times New Roman" w:hAnsi="Times New Roman" w:eastAsia="仿宋" w:cs="Times New Roman"/>
          <w:b/>
          <w:bCs/>
          <w:i w:val="0"/>
          <w:iCs w:val="0"/>
          <w:caps w:val="0"/>
          <w:color w:val="333333"/>
          <w:spacing w:val="0"/>
          <w:sz w:val="32"/>
          <w:szCs w:val="32"/>
          <w:bdr w:val="none" w:color="auto" w:sz="0" w:space="0"/>
          <w:shd w:val="clear" w:fill="FFFFFF"/>
        </w:rPr>
        <w:t>上年</w:t>
      </w: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存在问题改进情况：一是</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加强业务培训，积极参加县组织的业务培训会议和现场办公会，同时按期召开政府信息公开工作培训会，推动问题解决，进一步提升了政务公开经办人员业务水平，规范公开流程和内容</w:t>
      </w:r>
      <w:r>
        <w:rPr>
          <w:rFonts w:hint="default" w:ascii="Times New Roman" w:hAnsi="Times New Roman" w:eastAsia="方正仿宋_GBK" w:cs="Times New Roman"/>
          <w:b w:val="0"/>
          <w:bCs w:val="0"/>
          <w:i w:val="0"/>
          <w:iCs w:val="0"/>
          <w:caps w:val="0"/>
          <w:color w:val="333333"/>
          <w:spacing w:val="0"/>
          <w:sz w:val="32"/>
          <w:szCs w:val="32"/>
          <w:bdr w:val="none" w:color="auto" w:sz="0" w:space="0"/>
          <w:shd w:val="clear" w:fill="FFFFFF"/>
        </w:rPr>
        <w:t>。</w:t>
      </w: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二是</w:t>
      </w:r>
      <w:r>
        <w:rPr>
          <w:rFonts w:hint="default" w:ascii="Times New Roman" w:hAnsi="Times New Roman" w:eastAsia="方正仿宋_GBK" w:cs="Times New Roman"/>
          <w:b w:val="0"/>
          <w:bCs w:val="0"/>
          <w:i w:val="0"/>
          <w:iCs w:val="0"/>
          <w:caps w:val="0"/>
          <w:color w:val="333333"/>
          <w:spacing w:val="0"/>
          <w:sz w:val="32"/>
          <w:szCs w:val="32"/>
          <w:bdr w:val="none" w:color="auto" w:sz="0" w:space="0"/>
          <w:shd w:val="clear" w:fill="FFFFFF"/>
        </w:rPr>
        <w:t>强化政策解读，通过制作视频、音频形式进行政策解读，提升政策解读鲜明性，丰富解读形式。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2.</w:t>
      </w: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本年存在问题：一</w:t>
      </w:r>
      <w:r>
        <w:rPr>
          <w:rFonts w:hint="default" w:ascii="Times New Roman" w:hAnsi="Times New Roman" w:eastAsia="仿宋_GB2312" w:cs="Times New Roman"/>
          <w:b/>
          <w:bCs/>
          <w:i w:val="0"/>
          <w:iCs w:val="0"/>
          <w:caps w:val="0"/>
          <w:color w:val="333333"/>
          <w:spacing w:val="0"/>
          <w:sz w:val="32"/>
          <w:szCs w:val="32"/>
          <w:bdr w:val="none" w:color="auto" w:sz="0" w:space="0"/>
          <w:shd w:val="clear" w:fill="FFFFFF"/>
        </w:rPr>
        <w:t>是</w:t>
      </w:r>
      <w:r>
        <w:rPr>
          <w:rFonts w:hint="default" w:ascii="Times New Roman" w:hAnsi="Times New Roman" w:eastAsia="仿宋_GB2312" w:cs="Times New Roman"/>
          <w:i w:val="0"/>
          <w:iCs w:val="0"/>
          <w:caps w:val="0"/>
          <w:color w:val="333333"/>
          <w:spacing w:val="0"/>
          <w:sz w:val="32"/>
          <w:szCs w:val="32"/>
          <w:bdr w:val="none" w:color="auto" w:sz="0" w:space="0"/>
          <w:shd w:val="clear" w:fill="FFFFFF"/>
        </w:rPr>
        <w:t>与群众互动交流有待加强，政务公开工作中，群众的参与度不高。</w:t>
      </w:r>
      <w:r>
        <w:rPr>
          <w:rFonts w:hint="default" w:ascii="Times New Roman" w:hAnsi="Times New Roman" w:eastAsia="仿宋_GB2312" w:cs="Times New Roman"/>
          <w:b/>
          <w:bCs/>
          <w:i w:val="0"/>
          <w:iCs w:val="0"/>
          <w:caps w:val="0"/>
          <w:color w:val="333333"/>
          <w:spacing w:val="0"/>
          <w:sz w:val="32"/>
          <w:szCs w:val="32"/>
          <w:bdr w:val="none" w:color="auto" w:sz="0" w:space="0"/>
          <w:shd w:val="clear" w:fill="FFFFFF"/>
        </w:rPr>
        <w:t>二是</w:t>
      </w:r>
      <w:r>
        <w:rPr>
          <w:rFonts w:hint="default" w:ascii="Times New Roman" w:hAnsi="Times New Roman" w:eastAsia="仿宋_GB2312" w:cs="Times New Roman"/>
          <w:i w:val="0"/>
          <w:iCs w:val="0"/>
          <w:caps w:val="0"/>
          <w:color w:val="333333"/>
          <w:spacing w:val="0"/>
          <w:sz w:val="32"/>
          <w:szCs w:val="32"/>
          <w:bdr w:val="none" w:color="auto" w:sz="0" w:space="0"/>
          <w:shd w:val="clear" w:fill="FFFFFF"/>
        </w:rPr>
        <w:t>各责任部门沟通协调力度有待提高，部分领域主动公开还不够及时和规范。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仿宋_GB2312" w:cs="Times New Roman"/>
          <w:b/>
          <w:bCs/>
          <w:i w:val="0"/>
          <w:iCs w:val="0"/>
          <w:caps w:val="0"/>
          <w:color w:val="333333"/>
          <w:spacing w:val="0"/>
          <w:sz w:val="32"/>
          <w:szCs w:val="32"/>
          <w:bdr w:val="none" w:color="auto" w:sz="0" w:space="0"/>
          <w:shd w:val="clear" w:fill="FFFFFF"/>
        </w:rPr>
        <w:t>3.</w:t>
      </w: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下一步计划采取改进措施：一是</w:t>
      </w:r>
      <w:r>
        <w:rPr>
          <w:rFonts w:hint="default" w:ascii="Times New Roman" w:hAnsi="Times New Roman" w:eastAsia="方正仿宋_GBK" w:cs="Times New Roman"/>
          <w:b w:val="0"/>
          <w:bCs w:val="0"/>
          <w:i w:val="0"/>
          <w:iCs w:val="0"/>
          <w:caps w:val="0"/>
          <w:color w:val="333333"/>
          <w:spacing w:val="0"/>
          <w:sz w:val="32"/>
          <w:szCs w:val="32"/>
          <w:bdr w:val="none" w:color="auto" w:sz="0" w:space="0"/>
          <w:shd w:val="clear" w:fill="FFFFFF"/>
        </w:rPr>
        <w:t>加强与群众的互动交流，通过线上调查、座谈会等形式，积极收集群众意见和建议，加强与群众的互动交流，提高群众参与度。二</w:t>
      </w:r>
      <w:r>
        <w:rPr>
          <w:rFonts w:hint="default" w:ascii="Times New Roman" w:hAnsi="Times New Roman" w:eastAsia="方正仿宋_GBK" w:cs="Times New Roman"/>
          <w:b/>
          <w:bCs/>
          <w:i w:val="0"/>
          <w:iCs w:val="0"/>
          <w:caps w:val="0"/>
          <w:color w:val="333333"/>
          <w:spacing w:val="0"/>
          <w:sz w:val="32"/>
          <w:szCs w:val="32"/>
          <w:bdr w:val="none" w:color="auto" w:sz="0" w:space="0"/>
          <w:shd w:val="clear" w:fill="FFFFFF"/>
        </w:rPr>
        <w:t>是</w:t>
      </w:r>
      <w:r>
        <w:rPr>
          <w:rFonts w:hint="default" w:ascii="Times New Roman" w:hAnsi="Times New Roman" w:eastAsia="方正仿宋_GBK" w:cs="Times New Roman"/>
          <w:b w:val="0"/>
          <w:bCs w:val="0"/>
          <w:i w:val="0"/>
          <w:iCs w:val="0"/>
          <w:caps w:val="0"/>
          <w:color w:val="333333"/>
          <w:spacing w:val="0"/>
          <w:sz w:val="32"/>
          <w:szCs w:val="32"/>
          <w:bdr w:val="none" w:color="auto" w:sz="0" w:space="0"/>
          <w:shd w:val="clear" w:fill="FFFFFF"/>
        </w:rPr>
        <w:t>完善监督机制，加强对</w:t>
      </w:r>
      <w:r>
        <w:rPr>
          <w:rFonts w:hint="default" w:ascii="Times New Roman" w:hAnsi="Times New Roman" w:eastAsia="方正仿宋_GBK" w:cs="Times New Roman"/>
          <w:b w:val="0"/>
          <w:bCs w:val="0"/>
          <w:i w:val="0"/>
          <w:iCs w:val="0"/>
          <w:caps w:val="0"/>
          <w:color w:val="333333"/>
          <w:spacing w:val="0"/>
          <w:sz w:val="30"/>
          <w:szCs w:val="30"/>
          <w:bdr w:val="none" w:color="auto" w:sz="0" w:space="0"/>
          <w:shd w:val="clear" w:fill="FFFFFF"/>
        </w:rPr>
        <w:t>政务公开</w:t>
      </w:r>
      <w:r>
        <w:rPr>
          <w:rFonts w:hint="default" w:ascii="Times New Roman" w:hAnsi="Times New Roman" w:eastAsia="方正仿宋_GBK" w:cs="Times New Roman"/>
          <w:b w:val="0"/>
          <w:bCs w:val="0"/>
          <w:i w:val="0"/>
          <w:iCs w:val="0"/>
          <w:caps w:val="0"/>
          <w:color w:val="333333"/>
          <w:spacing w:val="0"/>
          <w:sz w:val="32"/>
          <w:szCs w:val="32"/>
          <w:bdr w:val="none" w:color="auto" w:sz="0" w:space="0"/>
          <w:shd w:val="clear" w:fill="FFFFFF"/>
        </w:rPr>
        <w:t>工作的监督，完善审核、反馈等机制，确保公开内容的真实性和准确性；同时建立举报制度，鼓励群众积极参与监督工作。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方正黑体_GBK" w:cs="Times New Roman"/>
          <w:i w:val="0"/>
          <w:iCs w:val="0"/>
          <w:caps w:val="0"/>
          <w:color w:val="333333"/>
          <w:spacing w:val="0"/>
          <w:sz w:val="32"/>
          <w:szCs w:val="32"/>
          <w:bdr w:val="none" w:color="auto" w:sz="0" w:space="0"/>
          <w:shd w:val="clear" w:fill="FFFFFF"/>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0" w:lineRule="exact"/>
        <w:ind w:left="0" w:right="0" w:firstLine="64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按照《国务院办公厅关于印发〈政府信息公开信息处理费管理办法〉的通知》（国办函〔</w:t>
      </w:r>
      <w:r>
        <w:rPr>
          <w:rFonts w:hint="default" w:ascii="Times New Roman" w:hAnsi="Times New Roman" w:eastAsia="仿宋_GB2312" w:cs="Times New Roman"/>
          <w:i w:val="0"/>
          <w:iCs w:val="0"/>
          <w:caps w:val="0"/>
          <w:color w:val="333333"/>
          <w:spacing w:val="0"/>
          <w:sz w:val="32"/>
          <w:szCs w:val="32"/>
          <w:bdr w:val="none" w:color="auto" w:sz="0" w:space="0"/>
          <w:shd w:val="clear" w:fill="FFFFFF"/>
        </w:rPr>
        <w:t>2020</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w:t>
      </w:r>
      <w:r>
        <w:rPr>
          <w:rFonts w:hint="default" w:ascii="Times New Roman" w:hAnsi="Times New Roman" w:eastAsia="仿宋_GB2312" w:cs="Times New Roman"/>
          <w:i w:val="0"/>
          <w:iCs w:val="0"/>
          <w:caps w:val="0"/>
          <w:color w:val="333333"/>
          <w:spacing w:val="0"/>
          <w:sz w:val="32"/>
          <w:szCs w:val="32"/>
          <w:bdr w:val="none" w:color="auto" w:sz="0" w:space="0"/>
          <w:shd w:val="clear" w:fill="FFFFFF"/>
        </w:rPr>
        <w:t>109</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号）规定的按件、按量收费标准，本年度没有产生信息公开处理费。</w:t>
      </w:r>
    </w:p>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Meiryo">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Cambria">
    <w:panose1 w:val="02040503050406030204"/>
    <w:charset w:val="00"/>
    <w:family w:val="auto"/>
    <w:pitch w:val="default"/>
    <w:sig w:usb0="E00002FF" w:usb1="400004FF" w:usb2="00000000" w:usb3="00000000" w:csb0="2000019F" w:csb1="00000000"/>
  </w:font>
  <w:font w:name="DejaVu Math TeX Gyre">
    <w:panose1 w:val="02000503000000000000"/>
    <w:charset w:val="00"/>
    <w:family w:val="auto"/>
    <w:pitch w:val="default"/>
    <w:sig w:usb0="A10000EF" w:usb1="4201F9EE" w:usb2="02000000" w:usb3="00000000" w:csb0="60000193" w:csb1="0DD40000"/>
  </w:font>
  <w:font w:name="Khmer UI">
    <w:panose1 w:val="020B0502040204020203"/>
    <w:charset w:val="00"/>
    <w:family w:val="auto"/>
    <w:pitch w:val="default"/>
    <w:sig w:usb0="8000002F" w:usb1="0000204A" w:usb2="00010000" w:usb3="00000000" w:csb0="00000001" w:csb1="00000000"/>
  </w:font>
  <w:font w:name="Microsoft Sans Serif">
    <w:panose1 w:val="020B0604020202020204"/>
    <w:charset w:val="00"/>
    <w:family w:val="auto"/>
    <w:pitch w:val="default"/>
    <w:sig w:usb0="E1002AFF" w:usb1="C0000002" w:usb2="00000008" w:usb3="00000000" w:csb0="200101FF" w:csb1="20280000"/>
  </w:font>
  <w:font w:name="Raavi">
    <w:panose1 w:val="020B0502040204020203"/>
    <w:charset w:val="00"/>
    <w:family w:val="auto"/>
    <w:pitch w:val="default"/>
    <w:sig w:usb0="0002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iN2I3YzhkNDM1MTI1NTdjODE5YjdkMjFlM2E5YTQifQ=="/>
  </w:docVars>
  <w:rsids>
    <w:rsidRoot w:val="513619C4"/>
    <w:rsid w:val="190B30FD"/>
    <w:rsid w:val="24D554B6"/>
    <w:rsid w:val="38907859"/>
    <w:rsid w:val="3EF62E58"/>
    <w:rsid w:val="42E052F1"/>
    <w:rsid w:val="4E026FB2"/>
    <w:rsid w:val="50470383"/>
    <w:rsid w:val="50760A1E"/>
    <w:rsid w:val="513619C4"/>
    <w:rsid w:val="54024463"/>
    <w:rsid w:val="75571F57"/>
    <w:rsid w:val="77726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2661</Words>
  <Characters>2793</Characters>
  <Lines>0</Lines>
  <Paragraphs>0</Paragraphs>
  <TotalTime>1</TotalTime>
  <ScaleCrop>false</ScaleCrop>
  <LinksUpToDate>false</LinksUpToDate>
  <CharactersWithSpaces>2799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2024-02-21T00:18:00Z</dcterms:created>
  <dc:creator>洛冥</dc:creator>
  <cp:lastModifiedBy>洛冥</cp:lastModifiedBy>
  <dcterms:modified xsi:type="dcterms:W3CDTF">2024-02-21T00:28:10Z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7E19EBE904304583A36062D6FAD7DB9B_11</vt:lpwstr>
  </property>
</Properties>
</file>