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41" w:beforeAutospacing="0" w:after="141" w:afterAutospacing="0" w:line="560" w:lineRule="exact"/>
        <w:ind w:left="0" w:right="0" w:firstLine="0"/>
        <w:jc w:val="center"/>
        <w:textAlignment w:val="auto"/>
        <w:rPr>
          <w:rFonts w:hint="eastAsia" w:ascii="微软雅黑" w:hAnsi="微软雅黑" w:eastAsia="微软雅黑" w:cs="微软雅黑"/>
          <w:b/>
          <w:bCs/>
          <w:i w:val="0"/>
          <w:iCs w:val="0"/>
          <w:caps w:val="0"/>
          <w:color w:val="000000"/>
          <w:spacing w:val="0"/>
          <w:sz w:val="48"/>
          <w:szCs w:val="48"/>
          <w:shd w:val="clear" w:fill="FFFFFF"/>
        </w:rPr>
      </w:pPr>
      <w:r>
        <w:rPr>
          <w:rFonts w:hint="eastAsia" w:ascii="微软雅黑" w:hAnsi="微软雅黑" w:eastAsia="微软雅黑" w:cs="微软雅黑"/>
          <w:b/>
          <w:bCs/>
          <w:i w:val="0"/>
          <w:iCs w:val="0"/>
          <w:caps w:val="0"/>
          <w:color w:val="000000"/>
          <w:spacing w:val="0"/>
          <w:sz w:val="48"/>
          <w:szCs w:val="48"/>
          <w:shd w:val="clear" w:fill="FFFFFF"/>
        </w:rPr>
        <w:t>金寨县气象局</w:t>
      </w:r>
      <w:r>
        <w:rPr>
          <w:rFonts w:hint="eastAsia" w:ascii="微软雅黑" w:hAnsi="微软雅黑" w:eastAsia="微软雅黑" w:cs="微软雅黑"/>
          <w:b/>
          <w:bCs/>
          <w:i w:val="0"/>
          <w:iCs w:val="0"/>
          <w:caps w:val="0"/>
          <w:color w:val="000000"/>
          <w:spacing w:val="0"/>
          <w:sz w:val="48"/>
          <w:szCs w:val="48"/>
          <w:shd w:val="clear" w:fill="FFFFFF"/>
          <w:lang w:val="en-US" w:eastAsia="zh-CN"/>
        </w:rPr>
        <w:t>2023</w:t>
      </w:r>
      <w:r>
        <w:rPr>
          <w:rFonts w:hint="eastAsia" w:ascii="微软雅黑" w:hAnsi="微软雅黑" w:eastAsia="微软雅黑" w:cs="微软雅黑"/>
          <w:b/>
          <w:bCs/>
          <w:i w:val="0"/>
          <w:iCs w:val="0"/>
          <w:caps w:val="0"/>
          <w:color w:val="000000"/>
          <w:spacing w:val="0"/>
          <w:sz w:val="48"/>
          <w:szCs w:val="48"/>
          <w:shd w:val="clear" w:fill="FFFFFF"/>
        </w:rPr>
        <w:t>年政府信息公开工作年度报告</w:t>
      </w:r>
    </w:p>
    <w:p>
      <w:pPr>
        <w:rPr>
          <w:rFonts w:hint="eastAsia"/>
        </w:rPr>
      </w:pPr>
    </w:p>
    <w:p>
      <w:pPr>
        <w:ind w:firstLine="640" w:firstLineChars="200"/>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根据《中华人民共和国政府信息公开条例》（国务院令第711号修订）（以下简称《条例》）第五十条规定和《关于做好2023年度政府信息公开年度报告编制和发布的通知》（</w:t>
      </w:r>
      <w:bookmarkStart w:id="0" w:name="文号"/>
      <w:r>
        <w:rPr>
          <w:rFonts w:hint="eastAsia" w:ascii="仿宋_GB2312" w:hAnsi="仿宋_GB2312" w:eastAsia="仿宋_GB2312" w:cs="仿宋_GB2312"/>
          <w:color w:val="auto"/>
          <w:kern w:val="2"/>
          <w:sz w:val="32"/>
          <w:szCs w:val="32"/>
          <w:lang w:val="en-US" w:eastAsia="zh-CN" w:bidi="ar"/>
        </w:rPr>
        <w:t>金政公开〔2024〕1号</w:t>
      </w:r>
      <w:bookmarkEnd w:id="0"/>
      <w:r>
        <w:rPr>
          <w:rFonts w:hint="eastAsia" w:ascii="仿宋_GB2312" w:hAnsi="仿宋_GB2312" w:eastAsia="仿宋_GB2312" w:cs="仿宋_GB2312"/>
          <w:color w:val="auto"/>
          <w:kern w:val="2"/>
          <w:sz w:val="32"/>
          <w:szCs w:val="32"/>
          <w:lang w:val="en-US" w:eastAsia="zh-CN" w:bidi="ar"/>
        </w:rPr>
        <w:t>）有关文件精神，编制了金寨县气象局2023年政府信息公开工作年度报告。</w:t>
      </w:r>
      <w:r>
        <w:rPr>
          <w:rFonts w:hint="eastAsia" w:ascii="仿宋" w:hAnsi="仿宋" w:eastAsia="仿宋" w:cs="仿宋"/>
          <w:i w:val="0"/>
          <w:iCs w:val="0"/>
          <w:caps w:val="0"/>
          <w:color w:val="auto"/>
          <w:spacing w:val="0"/>
          <w:sz w:val="32"/>
          <w:szCs w:val="32"/>
          <w:shd w:val="clear" w:fill="FFFFFF"/>
        </w:rPr>
        <w:t>报告主要包括：总体情况、行政机关主动公开政府信息情况、收到和处理政府信息公开申请情况、政府信息公开行政复议及行政诉讼情况、政府信息公开工作存在的主要问题及改进情况和其他需要报告的事项。</w:t>
      </w:r>
      <w:r>
        <w:rPr>
          <w:rFonts w:hint="eastAsia" w:ascii="仿宋_GB2312" w:hAnsi="仿宋_GB2312" w:eastAsia="仿宋_GB2312" w:cs="仿宋_GB2312"/>
          <w:color w:val="auto"/>
          <w:kern w:val="2"/>
          <w:sz w:val="32"/>
          <w:szCs w:val="32"/>
          <w:lang w:val="en-US" w:eastAsia="zh-CN" w:bidi="ar"/>
        </w:rPr>
        <w:t>报告中使用数据统计期限为2023年1月1日至2023年12月31日，报告的电子版可在金寨县气象局政府信息公开平台下载</w:t>
      </w:r>
    </w:p>
    <w:p>
      <w:pPr>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w:t>
      </w:r>
      <w:r>
        <w:rPr>
          <w:rFonts w:hint="eastAsia" w:ascii="仿宋_GB2312" w:hAnsi="宋体" w:eastAsia="仿宋_GB2312" w:cs="仿宋_GB2312"/>
          <w:i w:val="0"/>
          <w:iCs w:val="0"/>
          <w:caps w:val="0"/>
          <w:color w:val="000000"/>
          <w:spacing w:val="0"/>
          <w:sz w:val="28"/>
          <w:szCs w:val="28"/>
          <w:shd w:val="clear" w:fill="FFFFFF"/>
        </w:rPr>
        <w:t>https://www.ahjinzhai.gov.cn/public/content/37022022</w:t>
      </w:r>
      <w:r>
        <w:rPr>
          <w:rFonts w:hint="eastAsia" w:ascii="仿宋_GB2312" w:hAnsi="仿宋_GB2312" w:eastAsia="仿宋_GB2312" w:cs="仿宋_GB2312"/>
          <w:color w:val="auto"/>
          <w:kern w:val="2"/>
          <w:sz w:val="32"/>
          <w:szCs w:val="32"/>
          <w:lang w:val="en-US" w:eastAsia="zh-CN" w:bidi="ar"/>
        </w:rPr>
        <w:t>)。如对本报告有任何疑问，请与金寨县气象局办公室联系（地址：安徽省金寨县梅山镇江店新城区金叶路气象局407室，邮编：237300，电话：0564-7062151）。</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lang w:val="en-US" w:eastAsia="zh-CN"/>
        </w:rPr>
        <w:t>一、</w:t>
      </w:r>
      <w:r>
        <w:rPr>
          <w:rFonts w:hint="eastAsia" w:ascii="仿宋_GB2312" w:hAnsi="仿宋_GB2312" w:eastAsia="仿宋_GB2312" w:cs="仿宋_GB2312"/>
          <w:b/>
          <w:bCs/>
          <w:color w:val="333333"/>
          <w:kern w:val="0"/>
          <w:sz w:val="32"/>
          <w:szCs w:val="32"/>
        </w:rPr>
        <w:t>总体情况</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2023年，金寨县气象局全面落实县政务公开办关于政务公开工作的部署，立足工作实际狠抓落实，不断夯实政务公开工作基础，提升重点领域信息发布质量，全面提高公开质效。</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b/>
          <w:bCs/>
          <w:i w:val="0"/>
          <w:iCs w:val="0"/>
          <w:caps w:val="0"/>
          <w:color w:val="000000"/>
          <w:spacing w:val="0"/>
          <w:sz w:val="32"/>
          <w:szCs w:val="32"/>
          <w:lang w:val="en-US" w:eastAsia="zh-CN"/>
        </w:rPr>
        <w:t>1.</w:t>
      </w:r>
      <w:r>
        <w:rPr>
          <w:rFonts w:hint="eastAsia" w:ascii="仿宋_GB2312" w:hAnsi="仿宋_GB2312" w:eastAsia="仿宋_GB2312" w:cs="仿宋_GB2312"/>
          <w:b/>
          <w:bCs/>
          <w:i w:val="0"/>
          <w:iCs w:val="0"/>
          <w:caps w:val="0"/>
          <w:color w:val="333333"/>
          <w:spacing w:val="0"/>
          <w:sz w:val="30"/>
          <w:szCs w:val="30"/>
          <w:shd w:val="clear" w:fill="FFFFFF"/>
        </w:rPr>
        <w:t>主动公开情况</w:t>
      </w:r>
    </w:p>
    <w:p>
      <w:pPr>
        <w:ind w:firstLine="640" w:firstLineChars="200"/>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t>坚持“以公开为常态、不公开为例外”，形成主动公开工作机制，定期监测信息公开栏目更新情况，确保应公开信息全部公开到位。主动回应社会关切，针对社会关注的气象热点和难点问题，加强舆情监测、研判和回应，及时解疑释惑，强化正确的舆论导向。全年共通过政务公开网发布信息668条，其中应急管理信息315条，行政审批结果6件。及时发布气象预报预警信息、规划计划、权责清单、公共服务清单和中介清单动态调整结果、行政权力运行等群众关心的各类重点信息，并按照县政务公开办的要求，及时将预警信息推送至县政府网站应急管理、安全生产和备灾管理等栏目下。同时积极做好“两化”专题栏目中粮食安全中的有关气象信息的发布工作，共发布气象信息99条。</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rPr>
          <w:rFonts w:hint="eastAsia" w:ascii="仿宋_GB2312" w:hAnsi="仿宋_GB2312" w:eastAsia="仿宋_GB2312" w:cs="仿宋_GB2312"/>
          <w:b/>
          <w:bCs/>
          <w:i w:val="0"/>
          <w:iCs w:val="0"/>
          <w:caps w:val="0"/>
          <w:color w:val="333333"/>
          <w:spacing w:val="0"/>
          <w:sz w:val="32"/>
          <w:szCs w:val="32"/>
          <w:shd w:val="clear" w:fill="FFFFFF"/>
          <w:lang w:eastAsia="zh-CN"/>
        </w:rPr>
      </w:pPr>
      <w:r>
        <w:rPr>
          <w:rFonts w:hint="eastAsia" w:ascii="仿宋_GB2312" w:hAnsi="仿宋_GB2312" w:eastAsia="仿宋_GB2312" w:cs="仿宋_GB2312"/>
          <w:b/>
          <w:bCs/>
          <w:i w:val="0"/>
          <w:iCs w:val="0"/>
          <w:caps w:val="0"/>
          <w:color w:val="333333"/>
          <w:spacing w:val="0"/>
          <w:sz w:val="32"/>
          <w:szCs w:val="32"/>
          <w:shd w:val="clear" w:fill="FFFFFF"/>
        </w:rPr>
        <w:t>依申请公开</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t>我局认真贯彻落实《国务院办公厅关于做好政府信息依申请公开工作的意见》，严格执行政府工作信息依申请公开标准，并积极完善政府信息公开申请网上接办功能，加强栏目维护，确保渠道畅通、接办及时。2023年未收到依申请公开事项。</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rPr>
          <w:rFonts w:hint="eastAsia" w:ascii="仿宋_GB2312" w:hAnsi="仿宋_GB2312" w:eastAsia="仿宋_GB2312" w:cs="仿宋_GB2312"/>
          <w:b/>
          <w:bCs/>
          <w:i w:val="0"/>
          <w:iCs w:val="0"/>
          <w:caps w:val="0"/>
          <w:color w:val="000000"/>
          <w:spacing w:val="0"/>
          <w:sz w:val="32"/>
          <w:szCs w:val="32"/>
          <w:lang w:val="en-US" w:eastAsia="zh-CN"/>
        </w:rPr>
      </w:pPr>
      <w:r>
        <w:rPr>
          <w:rFonts w:hint="eastAsia" w:ascii="仿宋_GB2312" w:hAnsi="仿宋_GB2312" w:eastAsia="仿宋_GB2312" w:cs="仿宋_GB2312"/>
          <w:b/>
          <w:bCs/>
          <w:i w:val="0"/>
          <w:iCs w:val="0"/>
          <w:caps w:val="0"/>
          <w:color w:val="000000"/>
          <w:spacing w:val="0"/>
          <w:sz w:val="32"/>
          <w:szCs w:val="32"/>
          <w:lang w:val="en-US" w:eastAsia="zh-CN"/>
        </w:rPr>
        <w:t>政府信息管理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t>2023年，我局加强对政府信息公开工作的组织领导，建立健全政府信息公开工作机制，落实专人做好政府信息公开各项工作。严格执行信息公开保密审查制度，全面排查整改涉及个人隐私以及表述错误等不规范内容的公开信息。</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rPr>
          <w:rFonts w:hint="eastAsia" w:ascii="仿宋_GB2312" w:hAnsi="仿宋_GB2312" w:eastAsia="仿宋_GB2312" w:cs="仿宋_GB2312"/>
          <w:b/>
          <w:bCs/>
          <w:i w:val="0"/>
          <w:iCs w:val="0"/>
          <w:caps w:val="0"/>
          <w:color w:val="000000"/>
          <w:spacing w:val="0"/>
          <w:sz w:val="32"/>
          <w:szCs w:val="32"/>
          <w:lang w:val="en-US" w:eastAsia="zh-CN"/>
        </w:rPr>
      </w:pPr>
      <w:r>
        <w:rPr>
          <w:rFonts w:hint="eastAsia" w:ascii="仿宋_GB2312" w:hAnsi="仿宋_GB2312" w:eastAsia="仿宋_GB2312" w:cs="仿宋_GB2312"/>
          <w:b/>
          <w:bCs/>
          <w:i w:val="0"/>
          <w:iCs w:val="0"/>
          <w:caps w:val="0"/>
          <w:color w:val="000000"/>
          <w:spacing w:val="0"/>
          <w:sz w:val="32"/>
          <w:szCs w:val="32"/>
          <w:lang w:val="en-US" w:eastAsia="zh-CN"/>
        </w:rPr>
        <w:t>政府信息公开平台建设</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t>2023年，我局按照县政务公开办要求调整公开目录，并认真梳理完善，确保新增或修改的目录完整、正确、信息顺利公开。</w:t>
      </w:r>
      <w:r>
        <w:rPr>
          <w:rFonts w:hint="default" w:ascii="仿宋_GB2312" w:hAnsi="仿宋_GB2312" w:eastAsia="仿宋_GB2312" w:cs="仿宋_GB2312"/>
          <w:color w:val="auto"/>
          <w:kern w:val="2"/>
          <w:sz w:val="32"/>
          <w:szCs w:val="32"/>
          <w:lang w:val="en-US" w:eastAsia="zh-CN" w:bidi="ar-SA"/>
        </w:rPr>
        <w:t>通过</w:t>
      </w:r>
      <w:r>
        <w:rPr>
          <w:rFonts w:hint="eastAsia" w:ascii="仿宋_GB2312" w:hAnsi="仿宋_GB2312" w:eastAsia="仿宋_GB2312" w:cs="仿宋_GB2312"/>
          <w:color w:val="auto"/>
          <w:kern w:val="2"/>
          <w:sz w:val="32"/>
          <w:szCs w:val="32"/>
          <w:lang w:val="en-US" w:eastAsia="zh-CN" w:bidi="ar-SA"/>
        </w:rPr>
        <w:t>手机</w:t>
      </w:r>
      <w:r>
        <w:rPr>
          <w:rFonts w:hint="default" w:ascii="仿宋_GB2312" w:hAnsi="仿宋_GB2312" w:eastAsia="仿宋_GB2312" w:cs="仿宋_GB2312"/>
          <w:color w:val="auto"/>
          <w:kern w:val="2"/>
          <w:sz w:val="32"/>
          <w:szCs w:val="32"/>
          <w:lang w:val="en-US" w:eastAsia="zh-CN" w:bidi="ar-SA"/>
        </w:rPr>
        <w:t>短信、</w:t>
      </w:r>
      <w:r>
        <w:rPr>
          <w:rFonts w:hint="eastAsia" w:ascii="仿宋_GB2312" w:hAnsi="仿宋_GB2312" w:eastAsia="仿宋_GB2312" w:cs="仿宋_GB2312"/>
          <w:color w:val="auto"/>
          <w:kern w:val="2"/>
          <w:sz w:val="32"/>
          <w:szCs w:val="32"/>
          <w:lang w:val="en-US" w:eastAsia="zh-CN" w:bidi="ar-SA"/>
        </w:rPr>
        <w:t>OA办公网</w:t>
      </w:r>
      <w:r>
        <w:rPr>
          <w:rFonts w:hint="default" w:ascii="仿宋_GB2312" w:hAnsi="仿宋_GB2312" w:eastAsia="仿宋_GB2312" w:cs="仿宋_GB2312"/>
          <w:color w:val="auto"/>
          <w:kern w:val="2"/>
          <w:sz w:val="32"/>
          <w:szCs w:val="32"/>
          <w:lang w:val="en-US" w:eastAsia="zh-CN" w:bidi="ar-SA"/>
        </w:rPr>
        <w:t>等多渠道发布气象决策服务、公众服务信息，</w:t>
      </w:r>
      <w:r>
        <w:rPr>
          <w:rFonts w:hint="eastAsia" w:ascii="仿宋_GB2312" w:hAnsi="仿宋_GB2312" w:eastAsia="仿宋_GB2312" w:cs="仿宋_GB2312"/>
          <w:color w:val="auto"/>
          <w:kern w:val="2"/>
          <w:sz w:val="32"/>
          <w:szCs w:val="32"/>
          <w:lang w:val="en-US" w:eastAsia="zh-CN" w:bidi="ar-SA"/>
        </w:rPr>
        <w:t>主动</w:t>
      </w:r>
      <w:r>
        <w:rPr>
          <w:rFonts w:hint="default" w:ascii="仿宋_GB2312" w:hAnsi="仿宋_GB2312" w:eastAsia="仿宋_GB2312" w:cs="仿宋_GB2312"/>
          <w:color w:val="auto"/>
          <w:kern w:val="2"/>
          <w:sz w:val="32"/>
          <w:szCs w:val="32"/>
          <w:lang w:val="en-US" w:eastAsia="zh-CN" w:bidi="ar-SA"/>
        </w:rPr>
        <w:t>接受</w:t>
      </w:r>
      <w:r>
        <w:rPr>
          <w:rFonts w:hint="eastAsia" w:ascii="仿宋_GB2312" w:hAnsi="仿宋_GB2312" w:eastAsia="仿宋_GB2312" w:cs="仿宋_GB2312"/>
          <w:color w:val="auto"/>
          <w:kern w:val="2"/>
          <w:sz w:val="32"/>
          <w:szCs w:val="32"/>
          <w:lang w:val="en-US" w:eastAsia="zh-CN" w:bidi="ar-SA"/>
        </w:rPr>
        <w:t>县融媒体中心采访6</w:t>
      </w:r>
      <w:r>
        <w:rPr>
          <w:rFonts w:hint="default" w:ascii="仿宋_GB2312" w:hAnsi="仿宋_GB2312" w:eastAsia="仿宋_GB2312" w:cs="仿宋_GB2312"/>
          <w:color w:val="auto"/>
          <w:kern w:val="2"/>
          <w:sz w:val="32"/>
          <w:szCs w:val="32"/>
          <w:lang w:val="en-US" w:eastAsia="zh-CN" w:bidi="ar-SA"/>
        </w:rPr>
        <w:t>次</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与水利、应急部门联合发布预警</w:t>
      </w:r>
      <w:r>
        <w:rPr>
          <w:rFonts w:hint="eastAsia" w:ascii="仿宋_GB2312" w:hAnsi="仿宋_GB2312" w:eastAsia="仿宋_GB2312" w:cs="仿宋_GB2312"/>
          <w:color w:val="auto"/>
          <w:kern w:val="2"/>
          <w:sz w:val="32"/>
          <w:szCs w:val="32"/>
          <w:lang w:val="en-US" w:eastAsia="zh-CN" w:bidi="ar-SA"/>
        </w:rPr>
        <w:t>4</w:t>
      </w:r>
      <w:r>
        <w:rPr>
          <w:rFonts w:hint="default" w:ascii="仿宋_GB2312" w:hAnsi="仿宋_GB2312" w:eastAsia="仿宋_GB2312" w:cs="仿宋_GB2312"/>
          <w:color w:val="auto"/>
          <w:kern w:val="2"/>
          <w:sz w:val="32"/>
          <w:szCs w:val="32"/>
          <w:lang w:val="en-US" w:eastAsia="zh-CN" w:bidi="ar-SA"/>
        </w:rPr>
        <w:t>次，与自然资源局</w:t>
      </w:r>
      <w:r>
        <w:rPr>
          <w:rFonts w:hint="eastAsia" w:ascii="仿宋_GB2312" w:hAnsi="仿宋_GB2312" w:eastAsia="仿宋_GB2312" w:cs="仿宋_GB2312"/>
          <w:color w:val="auto"/>
          <w:kern w:val="2"/>
          <w:sz w:val="32"/>
          <w:szCs w:val="32"/>
          <w:lang w:val="en-US" w:eastAsia="zh-CN" w:bidi="ar-SA"/>
        </w:rPr>
        <w:t>联合发布地址灾害气象风险预警3次</w:t>
      </w:r>
      <w:r>
        <w:rPr>
          <w:rFonts w:hint="default" w:ascii="仿宋_GB2312" w:hAnsi="仿宋_GB2312" w:eastAsia="仿宋_GB2312" w:cs="仿宋_GB2312"/>
          <w:color w:val="auto"/>
          <w:kern w:val="2"/>
          <w:sz w:val="32"/>
          <w:szCs w:val="32"/>
          <w:lang w:val="en-US" w:eastAsia="zh-CN" w:bidi="ar-SA"/>
        </w:rPr>
        <w:t>。</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rPr>
          <w:rFonts w:hint="eastAsia" w:ascii="仿宋_GB2312" w:hAnsi="仿宋_GB2312" w:eastAsia="仿宋_GB2312" w:cs="仿宋_GB2312"/>
          <w:b/>
          <w:bCs/>
          <w:i w:val="0"/>
          <w:iCs w:val="0"/>
          <w:caps w:val="0"/>
          <w:color w:val="000000"/>
          <w:spacing w:val="0"/>
          <w:sz w:val="32"/>
          <w:szCs w:val="32"/>
          <w:lang w:val="en-US" w:eastAsia="zh-CN"/>
        </w:rPr>
      </w:pPr>
      <w:r>
        <w:rPr>
          <w:rFonts w:hint="eastAsia" w:ascii="仿宋_GB2312" w:hAnsi="仿宋_GB2312" w:eastAsia="仿宋_GB2312" w:cs="仿宋_GB2312"/>
          <w:b/>
          <w:bCs/>
          <w:i w:val="0"/>
          <w:iCs w:val="0"/>
          <w:caps w:val="0"/>
          <w:color w:val="000000"/>
          <w:spacing w:val="0"/>
          <w:sz w:val="32"/>
          <w:szCs w:val="32"/>
          <w:lang w:val="en-US" w:eastAsia="zh-CN"/>
        </w:rPr>
        <w:t>监督保障</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bCs w:val="0"/>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bCs w:val="0"/>
          <w:i w:val="0"/>
          <w:iCs w:val="0"/>
          <w:caps w:val="0"/>
          <w:color w:val="000000"/>
          <w:spacing w:val="0"/>
          <w:kern w:val="2"/>
          <w:sz w:val="32"/>
          <w:szCs w:val="32"/>
          <w:shd w:val="clear" w:fill="FFFFFF"/>
          <w:lang w:val="en-US" w:eastAsia="zh-CN" w:bidi="ar-SA"/>
        </w:rPr>
        <w:t>制定《金寨县气象局2023年政务公开重点工作提升行动方案》，对抓好主动公开、做好政策解读、加强平台建设和依申请公开、加强组织监督等工作进行安排布置，明确公开内容和任务分工。定期召开政务公开工作推进会，对政务公开工作进行梳理。根据县政务公开办测评反馈情况，每季度及时报送并公开政务公开工作整改报告。结合气象工作实际，充分挖掘提炼系统内政务公开有价值的典型经验做法，提高经验交流稿件质量，积极向县政务公开办报送1篇政务公开经验交流稿件。</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pPr>
    </w:p>
    <w:p>
      <w:pPr>
        <w:widowControl/>
        <w:shd w:val="clear" w:color="auto" w:fill="FFFFFF"/>
        <w:ind w:firstLine="643" w:firstLineChars="200"/>
        <w:rPr>
          <w:rFonts w:hint="eastAsia" w:ascii="仿宋_GB2312" w:hAnsi="仿宋_GB2312" w:eastAsia="仿宋_GB2312" w:cs="仿宋_GB2312"/>
          <w:color w:val="333333"/>
          <w:kern w:val="0"/>
          <w:sz w:val="32"/>
          <w:szCs w:val="32"/>
        </w:rPr>
      </w:pPr>
      <w:bookmarkStart w:id="1" w:name="_GoBack"/>
      <w:bookmarkEnd w:id="1"/>
      <w:r>
        <w:rPr>
          <w:rFonts w:hint="eastAsia" w:ascii="仿宋_GB2312" w:hAnsi="仿宋_GB2312" w:eastAsia="仿宋_GB2312" w:cs="仿宋_GB2312"/>
          <w:b/>
          <w:bCs/>
          <w:color w:val="333333"/>
          <w:kern w:val="0"/>
          <w:sz w:val="32"/>
          <w:szCs w:val="32"/>
        </w:rPr>
        <w:t>二、主动公开政府信息情况</w:t>
      </w:r>
    </w:p>
    <w:tbl>
      <w:tblPr>
        <w:tblStyle w:val="8"/>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0"/>
                <w:lang w:val="en-US"/>
              </w:rPr>
            </w:pPr>
            <w:r>
              <w:rPr>
                <w:rFonts w:hint="eastAsia" w:ascii="宋体" w:hAnsi="宋体" w:eastAsia="宋体" w:cs="宋体"/>
                <w:color w:val="000000"/>
                <w:kern w:val="0"/>
                <w:sz w:val="20"/>
                <w:szCs w:val="20"/>
                <w:lang w:val="en-US" w:eastAsia="zh-CN" w:bidi="ar"/>
              </w:rPr>
              <w:t xml:space="preserve">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rPr>
            </w:pPr>
            <w:r>
              <w:rPr>
                <w:rFonts w:hint="eastAsia" w:ascii="宋体" w:hAnsi="宋体" w:cs="宋体"/>
                <w:color w:val="000000"/>
                <w:kern w:val="0"/>
                <w:sz w:val="20"/>
                <w:szCs w:val="20"/>
                <w:lang w:val="en-US" w:eastAsia="zh-CN" w:bidi="ar"/>
              </w:rPr>
              <w:t>0</w:t>
            </w:r>
            <w:r>
              <w:rPr>
                <w:rFonts w:hint="eastAsia" w:ascii="宋体" w:hAnsi="宋体" w:eastAsia="宋体" w:cs="宋体"/>
                <w:color w:val="000000"/>
                <w:kern w:val="0"/>
                <w:sz w:val="20"/>
                <w:szCs w:val="20"/>
                <w:lang w:val="en-US" w:eastAsia="zh-CN" w:bidi="ar"/>
              </w:rPr>
              <w:t xml:space="preserve">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0"/>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rPr>
            </w:pPr>
            <w:r>
              <w:rPr>
                <w:rFonts w:hint="eastAsia" w:ascii="宋体" w:hAnsi="宋体" w:cs="宋体"/>
                <w:color w:val="000000"/>
                <w:kern w:val="0"/>
                <w:sz w:val="20"/>
                <w:szCs w:val="20"/>
                <w:lang w:val="en-US" w:eastAsia="zh-CN" w:bidi="ar"/>
              </w:rPr>
              <w:t xml:space="preserve">  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rPr>
            </w:pPr>
            <w:r>
              <w:rPr>
                <w:rFonts w:hint="eastAsia" w:ascii="宋体" w:hAnsi="宋体" w:cs="宋体"/>
                <w:color w:val="000000"/>
                <w:kern w:val="0"/>
                <w:sz w:val="20"/>
                <w:szCs w:val="20"/>
                <w:lang w:val="en-US" w:eastAsia="zh-CN" w:bidi="ar"/>
              </w:rPr>
              <w:t xml:space="preserve">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kern w:val="2"/>
                <w:sz w:val="32"/>
                <w:szCs w:val="32"/>
                <w:lang w:val="en-US"/>
              </w:rPr>
            </w:pPr>
            <w:r>
              <w:rPr>
                <w:rFonts w:hint="eastAsia" w:eastAsia="仿宋_GB2312" w:cs="Calibri"/>
                <w:kern w:val="0"/>
                <w:sz w:val="21"/>
                <w:szCs w:val="21"/>
                <w:lang w:val="en-US" w:eastAsia="zh-CN" w:bidi="ar"/>
              </w:rPr>
              <w:t>6</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rPr>
            </w:pPr>
            <w:r>
              <w:rPr>
                <w:rFonts w:hint="eastAsia" w:ascii="宋体" w:hAnsi="宋体" w:cs="宋体"/>
                <w:color w:val="000000"/>
                <w:kern w:val="0"/>
                <w:sz w:val="20"/>
                <w:szCs w:val="20"/>
                <w:lang w:val="en-US" w:eastAsia="zh-CN" w:bidi="ar"/>
              </w:rPr>
              <w:t>0</w:t>
            </w:r>
            <w:r>
              <w:rPr>
                <w:rFonts w:hint="eastAsia" w:ascii="宋体" w:hAnsi="宋体" w:eastAsia="宋体" w:cs="宋体"/>
                <w:color w:val="000000"/>
                <w:kern w:val="0"/>
                <w:sz w:val="20"/>
                <w:szCs w:val="20"/>
                <w:lang w:val="en-US" w:eastAsia="zh-CN" w:bidi="ar"/>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rPr>
            </w:pPr>
            <w:r>
              <w:rPr>
                <w:rFonts w:hint="eastAsia" w:ascii="宋体" w:hAnsi="宋体" w:cs="宋体"/>
                <w:color w:val="000000"/>
                <w:kern w:val="0"/>
                <w:sz w:val="20"/>
                <w:szCs w:val="20"/>
                <w:lang w:val="en-US" w:eastAsia="zh-CN" w:bidi="ar"/>
              </w:rPr>
              <w:t>0</w:t>
            </w:r>
            <w:r>
              <w:rPr>
                <w:rFonts w:hint="eastAsia" w:ascii="宋体" w:hAnsi="宋体" w:eastAsia="宋体" w:cs="宋体"/>
                <w:color w:val="000000"/>
                <w:kern w:val="0"/>
                <w:sz w:val="20"/>
                <w:szCs w:val="20"/>
                <w:lang w:val="en-US" w:eastAsia="zh-CN" w:bidi="ar"/>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仿宋_GB2312" w:cs="Times New Roman"/>
                <w:kern w:val="2"/>
                <w:sz w:val="24"/>
                <w:szCs w:val="24"/>
                <w:lang w:val="en-US" w:eastAsia="zh-CN"/>
              </w:rPr>
            </w:pPr>
            <w:r>
              <w:rPr>
                <w:rFonts w:hint="eastAsia" w:ascii="宋体" w:hAnsi="Times New Roman" w:eastAsia="仿宋_GB2312" w:cs="Times New Roman"/>
                <w:kern w:val="2"/>
                <w:sz w:val="24"/>
                <w:szCs w:val="24"/>
                <w:lang w:val="en-US" w:eastAsia="zh-CN"/>
              </w:rPr>
              <w:t>0</w:t>
            </w:r>
          </w:p>
        </w:tc>
      </w:tr>
    </w:tbl>
    <w:p>
      <w:pPr>
        <w:widowControl/>
        <w:shd w:val="clear" w:color="auto" w:fill="FFFFFF"/>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lang w:val="en-US" w:eastAsia="zh-CN"/>
        </w:rPr>
        <w:t>三、</w:t>
      </w:r>
      <w:r>
        <w:rPr>
          <w:rFonts w:hint="eastAsia" w:ascii="仿宋_GB2312" w:hAnsi="仿宋_GB2312" w:eastAsia="仿宋_GB2312" w:cs="仿宋_GB2312"/>
          <w:b/>
          <w:bCs/>
          <w:color w:val="333333"/>
          <w:kern w:val="0"/>
          <w:sz w:val="32"/>
          <w:szCs w:val="32"/>
        </w:rPr>
        <w:t>收到和处理政府信息公开申请情况</w:t>
      </w:r>
    </w:p>
    <w:tbl>
      <w:tblPr>
        <w:tblStyle w:val="8"/>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default" w:ascii="Times New Roman" w:hAnsi="Times New Roman" w:cs="Times New Roman"/>
                <w:sz w:val="20"/>
                <w:szCs w:val="20"/>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default" w:ascii="Times New Roman" w:hAnsi="Times New Roman" w:cs="Times New Roman"/>
                <w:sz w:val="20"/>
                <w:szCs w:val="20"/>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商业</w:t>
            </w:r>
          </w:p>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科研</w:t>
            </w:r>
          </w:p>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kern w:val="2"/>
                <w:sz w:val="32"/>
                <w:szCs w:val="32"/>
                <w:lang w:val="en-US"/>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cs="Times New Roman"/>
                <w:kern w:val="2"/>
                <w:sz w:val="32"/>
                <w:szCs w:val="32"/>
                <w:lang w:val="en-US"/>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right="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三、本年度办理结果</w:t>
            </w: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single" w:color="auto" w:sz="4"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4162" w:type="dxa"/>
            <w:gridSpan w:val="2"/>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4"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4" w:space="0"/>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restart"/>
            <w:tcBorders>
              <w:top w:val="single" w:color="auto" w:sz="4"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（三）不予公开</w:t>
            </w:r>
          </w:p>
        </w:tc>
        <w:tc>
          <w:tcPr>
            <w:tcW w:w="3219"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1.属于国家秘密</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single" w:color="auto" w:sz="4" w:space="0"/>
              <w:left w:val="nil"/>
              <w:bottom w:val="single" w:color="auto" w:sz="8" w:space="0"/>
              <w:right w:val="single" w:color="auto" w:sz="4"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4"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4"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single" w:color="auto" w:sz="4"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single" w:color="auto" w:sz="4"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4"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4" w:space="0"/>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single" w:color="auto" w:sz="4"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3219"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5.属于三类内部事务信息</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（四）无法提供</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（五）不予处理</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both"/>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（六）其他处理</w:t>
            </w: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both"/>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both"/>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0"/>
                <w:szCs w:val="20"/>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default" w:ascii="Calibri" w:hAnsi="Calibri" w:eastAsia="仿宋_GB2312" w:cs="Calibri"/>
                <w:kern w:val="0"/>
                <w:sz w:val="20"/>
                <w:szCs w:val="20"/>
                <w:lang w:val="en-US" w:eastAsia="zh-CN"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Times New Roman" w:eastAsia="仿宋_GB2312" w:cs="Times New Roman"/>
                <w:kern w:val="2"/>
                <w:sz w:val="32"/>
                <w:szCs w:val="32"/>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eastAsia" w:ascii="宋体" w:hAnsi="Times New Roman" w:eastAsia="仿宋_GB2312" w:cs="Times New Roman"/>
                <w:kern w:val="2"/>
                <w:sz w:val="24"/>
                <w:szCs w:val="24"/>
              </w:rPr>
            </w:pPr>
            <w:r>
              <w:rPr>
                <w:rFonts w:hint="eastAsia"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bl>
    <w:p>
      <w:pPr>
        <w:widowControl/>
        <w:shd w:val="clear" w:color="auto" w:fill="FFFFFF"/>
        <w:rPr>
          <w:rFonts w:ascii="宋体" w:hAnsi="宋体" w:cs="宋体"/>
          <w:color w:val="333333"/>
          <w:kern w:val="0"/>
          <w:sz w:val="24"/>
          <w:szCs w:val="24"/>
        </w:rPr>
      </w:pPr>
      <w:r>
        <w:rPr>
          <w:rFonts w:hint="eastAsia" w:ascii="仿宋_GB2312" w:hAnsi="仿宋_GB2312" w:eastAsia="仿宋_GB2312" w:cs="仿宋_GB2312"/>
          <w:b/>
          <w:bCs/>
          <w:color w:val="333333"/>
          <w:kern w:val="0"/>
          <w:sz w:val="32"/>
          <w:szCs w:val="32"/>
        </w:rPr>
        <w:t>四、政府信息公开行政复议、行政诉讼情况</w:t>
      </w:r>
    </w:p>
    <w:tbl>
      <w:tblPr>
        <w:tblStyle w:val="8"/>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行政复议</w:t>
            </w:r>
          </w:p>
        </w:tc>
        <w:tc>
          <w:tcPr>
            <w:tcW w:w="6498"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结果维持</w:t>
            </w:r>
          </w:p>
        </w:tc>
        <w:tc>
          <w:tcPr>
            <w:tcW w:w="649"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未经复议直接起诉</w:t>
            </w:r>
          </w:p>
        </w:tc>
        <w:tc>
          <w:tcPr>
            <w:tcW w:w="325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sz w:val="20"/>
                <w:szCs w:val="20"/>
              </w:rPr>
            </w:pPr>
          </w:p>
        </w:tc>
        <w:tc>
          <w:tcPr>
            <w:tcW w:w="649"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sz w:val="20"/>
                <w:szCs w:val="20"/>
              </w:rPr>
            </w:pPr>
          </w:p>
        </w:tc>
        <w:tc>
          <w:tcPr>
            <w:tcW w:w="6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总计</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仿宋_GB2312" w:hAnsi="Times New Roman" w:eastAsia="仿宋_GB2312" w:cs="Times New Roman"/>
                <w:kern w:val="2"/>
                <w:sz w:val="32"/>
                <w:szCs w:val="32"/>
                <w:lang w:val="en-US"/>
              </w:rPr>
            </w:pPr>
            <w:r>
              <w:rPr>
                <w:rFonts w:hint="eastAsia" w:ascii="黑体" w:hAnsi="宋体" w:eastAsia="黑体" w:cs="黑体"/>
                <w:kern w:val="0"/>
                <w:sz w:val="20"/>
                <w:szCs w:val="20"/>
                <w:lang w:val="en-US" w:eastAsia="zh-CN" w:bidi="ar"/>
              </w:rPr>
              <w:t> 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仿宋_GB2312" w:hAnsi="Times New Roman" w:eastAsia="仿宋_GB2312" w:cs="Times New Roman"/>
                <w:kern w:val="2"/>
                <w:sz w:val="32"/>
                <w:szCs w:val="32"/>
                <w:lang w:val="en-US"/>
              </w:rPr>
            </w:pPr>
            <w:r>
              <w:rPr>
                <w:rFonts w:hint="eastAsia" w:ascii="黑体" w:hAnsi="宋体" w:eastAsia="黑体" w:cs="黑体"/>
                <w:kern w:val="0"/>
                <w:sz w:val="20"/>
                <w:szCs w:val="20"/>
                <w:lang w:val="en-US" w:eastAsia="zh-CN" w:bidi="ar"/>
              </w:rPr>
              <w:t> 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黑体" w:hAnsi="宋体" w:eastAsia="黑体" w:cs="黑体"/>
                <w:kern w:val="0"/>
                <w:sz w:val="20"/>
                <w:szCs w:val="20"/>
                <w:lang w:val="en-US" w:eastAsia="zh-CN" w:bidi="ar"/>
              </w:rPr>
              <w:t>0 </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仿宋_GB2312" w:hAnsi="Times New Roman" w:eastAsia="仿宋_GB2312" w:cs="Times New Roman"/>
                <w:kern w:val="2"/>
                <w:sz w:val="32"/>
                <w:szCs w:val="32"/>
                <w:lang w:val="en-US"/>
              </w:rPr>
            </w:pPr>
            <w:r>
              <w:rPr>
                <w:rFonts w:hint="eastAsia" w:ascii="黑体" w:hAnsi="宋体" w:eastAsia="黑体" w:cs="黑体"/>
                <w:kern w:val="0"/>
                <w:sz w:val="20"/>
                <w:szCs w:val="20"/>
                <w:lang w:val="en-US" w:eastAsia="zh-CN" w:bidi="ar"/>
              </w:rPr>
              <w:t> 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仿宋_GB2312" w:hAnsi="Times New Roman" w:eastAsia="仿宋_GB2312" w:cs="Times New Roman"/>
                <w:kern w:val="2"/>
                <w:sz w:val="32"/>
                <w:szCs w:val="32"/>
                <w:lang w:val="en-US"/>
              </w:rPr>
            </w:pPr>
            <w:r>
              <w:rPr>
                <w:rFonts w:hint="eastAsia" w:ascii="黑体" w:hAnsi="宋体" w:eastAsia="黑体" w:cs="黑体"/>
                <w:kern w:val="0"/>
                <w:sz w:val="20"/>
                <w:szCs w:val="20"/>
                <w:lang w:val="en-US" w:eastAsia="zh-CN" w:bidi="ar"/>
              </w:rPr>
              <w:t> 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黑体" w:hAnsi="宋体" w:eastAsia="黑体" w:cs="黑体"/>
                <w:kern w:val="0"/>
                <w:sz w:val="20"/>
                <w:szCs w:val="20"/>
                <w:lang w:val="en-US" w:eastAsia="zh-CN" w:bidi="ar"/>
              </w:rPr>
              <w:t>0 </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黑体" w:hAnsi="宋体" w:eastAsia="黑体" w:cs="黑体"/>
                <w:kern w:val="0"/>
                <w:sz w:val="20"/>
                <w:szCs w:val="20"/>
                <w:lang w:val="en-US" w:eastAsia="zh-CN" w:bidi="ar"/>
              </w:rPr>
              <w:t>0 </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仿宋_GB2312" w:hAnsi="Times New Roman" w:eastAsia="仿宋_GB2312" w:cs="Times New Roman"/>
                <w:kern w:val="2"/>
                <w:sz w:val="32"/>
                <w:szCs w:val="32"/>
                <w:lang w:val="en-US"/>
              </w:rPr>
            </w:pPr>
            <w:r>
              <w:rPr>
                <w:rFonts w:hint="eastAsia" w:ascii="黑体" w:hAnsi="宋体" w:eastAsia="黑体" w:cs="黑体"/>
                <w:kern w:val="0"/>
                <w:sz w:val="20"/>
                <w:szCs w:val="20"/>
                <w:lang w:val="en-US" w:eastAsia="zh-CN" w:bidi="ar"/>
              </w:rPr>
              <w:t> 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黑体" w:hAnsi="宋体" w:eastAsia="黑体" w:cs="黑体"/>
                <w:kern w:val="0"/>
                <w:sz w:val="20"/>
                <w:szCs w:val="20"/>
                <w:lang w:val="en-US" w:eastAsia="zh-CN" w:bidi="ar"/>
              </w:rPr>
              <w:t>0 </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黑体" w:hAnsi="宋体" w:eastAsia="黑体" w:cs="黑体"/>
                <w:kern w:val="0"/>
                <w:sz w:val="20"/>
                <w:szCs w:val="20"/>
                <w:lang w:val="en-US" w:eastAsia="zh-CN" w:bidi="ar"/>
              </w:rPr>
              <w:t>0 </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仿宋_GB2312" w:hAnsi="Times New Roman" w:eastAsia="仿宋_GB2312" w:cs="Times New Roman"/>
                <w:kern w:val="2"/>
                <w:sz w:val="32"/>
                <w:szCs w:val="32"/>
                <w:lang w:val="en-US"/>
              </w:rPr>
            </w:pPr>
            <w:r>
              <w:rPr>
                <w:rFonts w:hint="eastAsia" w:ascii="黑体" w:hAnsi="宋体" w:eastAsia="黑体" w:cs="黑体"/>
                <w:kern w:val="0"/>
                <w:sz w:val="20"/>
                <w:szCs w:val="20"/>
                <w:lang w:val="en-US" w:eastAsia="zh-CN" w:bidi="ar"/>
              </w:rPr>
              <w:t> 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仿宋_GB2312" w:hAnsi="Times New Roman" w:eastAsia="仿宋_GB2312" w:cs="Times New Roman"/>
                <w:kern w:val="2"/>
                <w:sz w:val="32"/>
                <w:szCs w:val="32"/>
                <w:lang w:val="en-US"/>
              </w:rPr>
            </w:pPr>
            <w:r>
              <w:rPr>
                <w:rFonts w:hint="eastAsia" w:ascii="黑体" w:hAnsi="宋体" w:eastAsia="黑体" w:cs="黑体"/>
                <w:kern w:val="0"/>
                <w:sz w:val="20"/>
                <w:szCs w:val="20"/>
                <w:lang w:val="en-US" w:eastAsia="zh-CN" w:bidi="ar"/>
              </w:rPr>
              <w:t> 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Times New Roman" w:eastAsia="仿宋_GB2312" w:cs="Times New Roman"/>
                <w:kern w:val="2"/>
                <w:sz w:val="32"/>
                <w:szCs w:val="32"/>
              </w:rPr>
            </w:pPr>
            <w:r>
              <w:rPr>
                <w:rFonts w:hint="eastAsia" w:ascii="黑体" w:hAnsi="宋体" w:eastAsia="黑体" w:cs="黑体"/>
                <w:kern w:val="0"/>
                <w:sz w:val="20"/>
                <w:szCs w:val="20"/>
                <w:lang w:val="en-US" w:eastAsia="zh-CN" w:bidi="ar"/>
              </w:rPr>
              <w:t>0 </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仿宋_GB2312" w:hAnsi="Times New Roman" w:eastAsia="仿宋_GB2312" w:cs="Times New Roman"/>
                <w:kern w:val="2"/>
                <w:sz w:val="32"/>
                <w:szCs w:val="32"/>
                <w:lang w:val="en-US"/>
              </w:rPr>
            </w:pPr>
            <w:r>
              <w:rPr>
                <w:rFonts w:hint="eastAsia" w:ascii="黑体" w:hAnsi="宋体" w:eastAsia="黑体" w:cs="黑体"/>
                <w:kern w:val="0"/>
                <w:sz w:val="20"/>
                <w:szCs w:val="20"/>
                <w:lang w:val="en-US" w:eastAsia="zh-CN" w:bidi="ar"/>
              </w:rPr>
              <w:t> 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val="0"/>
              <w:suppressLineNumbers w:val="0"/>
              <w:spacing w:before="0" w:beforeAutospacing="0" w:after="0" w:afterAutospacing="0"/>
              <w:ind w:left="0" w:right="0"/>
              <w:jc w:val="both"/>
              <w:rPr>
                <w:rFonts w:hint="eastAsia" w:ascii="宋体" w:hAnsi="Times New Roman" w:eastAsia="仿宋_GB2312" w:cs="Times New Roman"/>
                <w:kern w:val="2"/>
                <w:sz w:val="24"/>
                <w:szCs w:val="24"/>
                <w:lang w:val="en-US" w:eastAsia="zh-CN"/>
              </w:rPr>
            </w:pPr>
            <w:r>
              <w:rPr>
                <w:rFonts w:hint="eastAsia" w:ascii="宋体" w:hAnsi="Times New Roman" w:eastAsia="仿宋_GB2312" w:cs="Times New Roman"/>
                <w:kern w:val="2"/>
                <w:sz w:val="24"/>
                <w:szCs w:val="24"/>
                <w:lang w:val="en-US" w:eastAsia="zh-CN"/>
              </w:rPr>
              <w:t>0</w:t>
            </w:r>
          </w:p>
        </w:tc>
      </w:tr>
    </w:tbl>
    <w:p>
      <w:pPr>
        <w:widowControl/>
        <w:jc w:val="left"/>
        <w:rPr>
          <w:rFonts w:hint="eastAsia" w:ascii="宋体" w:hAnsi="宋体" w:cs="宋体"/>
          <w:b/>
          <w:bCs/>
          <w:color w:val="333333"/>
          <w:kern w:val="0"/>
          <w:sz w:val="24"/>
          <w:szCs w:val="24"/>
        </w:rPr>
      </w:pPr>
    </w:p>
    <w:p>
      <w:pPr>
        <w:widowControl/>
        <w:numPr>
          <w:ilvl w:val="0"/>
          <w:numId w:val="2"/>
        </w:numPr>
        <w:shd w:val="clear" w:color="auto" w:fill="FFFFFF"/>
        <w:ind w:firstLine="643" w:firstLineChars="200"/>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存在的主要问题及改进情况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eastAsia="仿宋_GB2312" w:cs="仿宋_GB2312"/>
          <w:b/>
          <w:bCs/>
          <w:i w:val="0"/>
          <w:iCs w:val="0"/>
          <w:caps w:val="0"/>
          <w:color w:val="000000"/>
          <w:spacing w:val="0"/>
          <w:sz w:val="32"/>
          <w:szCs w:val="32"/>
          <w:shd w:val="clear" w:fill="FFFFFF"/>
          <w:lang w:val="en-US" w:eastAsia="zh-CN"/>
        </w:rPr>
        <w:t>上一年度整改情况：</w:t>
      </w:r>
      <w:r>
        <w:rPr>
          <w:rFonts w:hint="eastAsia" w:ascii="仿宋_GB2312" w:hAnsi="宋体" w:eastAsia="仿宋_GB2312" w:cs="仿宋_GB2312"/>
          <w:i w:val="0"/>
          <w:iCs w:val="0"/>
          <w:caps w:val="0"/>
          <w:color w:val="000000"/>
          <w:spacing w:val="0"/>
          <w:sz w:val="32"/>
          <w:szCs w:val="32"/>
          <w:shd w:val="clear" w:fill="FFFFFF"/>
          <w:lang w:val="en-US" w:eastAsia="zh-CN"/>
        </w:rPr>
        <w:t>一是进一步强化组织领导，每季度召开一次政务公开工作推进会，确保政务信息公开工作有序开展；二是加强培训学习，进一步提高政府信息公开工作水平；三是</w:t>
      </w:r>
      <w:r>
        <w:rPr>
          <w:rFonts w:ascii="仿宋_GB2312" w:hAnsi="宋体" w:eastAsia="仿宋_GB2312" w:cs="仿宋_GB2312"/>
          <w:i w:val="0"/>
          <w:iCs w:val="0"/>
          <w:caps w:val="0"/>
          <w:color w:val="000000"/>
          <w:spacing w:val="0"/>
          <w:sz w:val="32"/>
          <w:szCs w:val="32"/>
          <w:shd w:val="clear" w:fill="FFFFFF"/>
        </w:rPr>
        <w:t>强化整改落实，对季度测评反馈</w:t>
      </w:r>
      <w:r>
        <w:rPr>
          <w:rFonts w:hint="eastAsia" w:ascii="仿宋_GB2312" w:eastAsia="仿宋_GB2312" w:cs="仿宋_GB2312"/>
          <w:i w:val="0"/>
          <w:iCs w:val="0"/>
          <w:caps w:val="0"/>
          <w:color w:val="000000"/>
          <w:spacing w:val="0"/>
          <w:sz w:val="32"/>
          <w:szCs w:val="32"/>
          <w:shd w:val="clear" w:fill="FFFFFF"/>
          <w:lang w:val="en-US" w:eastAsia="zh-CN"/>
        </w:rPr>
        <w:t>的问题及时认真的进行整改</w:t>
      </w:r>
      <w:r>
        <w:rPr>
          <w:rFonts w:hint="eastAsia" w:ascii="仿宋_GB2312" w:hAnsi="宋体" w:eastAsia="仿宋_GB2312" w:cs="仿宋_GB2312"/>
          <w:i w:val="0"/>
          <w:iCs w:val="0"/>
          <w:caps w:val="0"/>
          <w:color w:val="000000"/>
          <w:spacing w:val="0"/>
          <w:sz w:val="32"/>
          <w:szCs w:val="32"/>
          <w:shd w:val="clear" w:fill="FFFFFF"/>
          <w:lang w:val="en-US"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_GB2312" w:hAnsi="宋体" w:eastAsia="仿宋_GB2312" w:cs="仿宋_GB2312"/>
          <w:i w:val="0"/>
          <w:iCs w:val="0"/>
          <w:caps w:val="0"/>
          <w:color w:val="000000"/>
          <w:spacing w:val="0"/>
          <w:sz w:val="32"/>
          <w:szCs w:val="32"/>
          <w:shd w:val="clear" w:fill="FFFFFF"/>
        </w:rPr>
      </w:pPr>
      <w:r>
        <w:rPr>
          <w:rFonts w:hint="eastAsia" w:ascii="仿宋_GB2312" w:eastAsia="仿宋_GB2312" w:cs="仿宋_GB2312"/>
          <w:b/>
          <w:bCs/>
          <w:i w:val="0"/>
          <w:iCs w:val="0"/>
          <w:caps w:val="0"/>
          <w:color w:val="000000"/>
          <w:spacing w:val="0"/>
          <w:sz w:val="32"/>
          <w:szCs w:val="32"/>
          <w:shd w:val="clear" w:fill="FFFFFF"/>
          <w:lang w:val="en-US" w:eastAsia="zh-CN"/>
        </w:rPr>
        <w:t>存在问题：</w:t>
      </w:r>
      <w:r>
        <w:rPr>
          <w:rFonts w:ascii="仿宋_GB2312" w:hAnsi="宋体" w:eastAsia="仿宋_GB2312" w:cs="仿宋_GB2312"/>
          <w:i w:val="0"/>
          <w:iCs w:val="0"/>
          <w:caps w:val="0"/>
          <w:color w:val="000000"/>
          <w:spacing w:val="0"/>
          <w:sz w:val="32"/>
          <w:szCs w:val="32"/>
          <w:shd w:val="clear" w:fill="FFFFFF"/>
        </w:rPr>
        <w:t>一是</w:t>
      </w:r>
      <w:r>
        <w:rPr>
          <w:rFonts w:hint="default" w:ascii="仿宋_GB2312" w:hAnsi="宋体" w:eastAsia="仿宋_GB2312" w:cs="仿宋_GB2312"/>
          <w:i w:val="0"/>
          <w:iCs w:val="0"/>
          <w:caps w:val="0"/>
          <w:color w:val="000000"/>
          <w:spacing w:val="0"/>
          <w:sz w:val="32"/>
          <w:szCs w:val="32"/>
          <w:shd w:val="clear" w:fill="FFFFFF"/>
        </w:rPr>
        <w:t>信息公开及时性不强。部分信息公开不及时，主动公开力度还需加强；</w:t>
      </w:r>
      <w:r>
        <w:rPr>
          <w:rFonts w:hint="eastAsia" w:ascii="仿宋_GB2312" w:eastAsia="仿宋_GB2312" w:cs="仿宋_GB2312"/>
          <w:i w:val="0"/>
          <w:iCs w:val="0"/>
          <w:caps w:val="0"/>
          <w:color w:val="000000"/>
          <w:spacing w:val="0"/>
          <w:sz w:val="32"/>
          <w:szCs w:val="32"/>
          <w:shd w:val="clear" w:fill="FFFFFF"/>
          <w:lang w:val="en-US" w:eastAsia="zh-CN"/>
        </w:rPr>
        <w:t>二</w:t>
      </w:r>
      <w:r>
        <w:rPr>
          <w:rFonts w:hint="default" w:ascii="仿宋_GB2312" w:hAnsi="宋体" w:eastAsia="仿宋_GB2312" w:cs="仿宋_GB2312"/>
          <w:i w:val="0"/>
          <w:iCs w:val="0"/>
          <w:caps w:val="0"/>
          <w:color w:val="000000"/>
          <w:spacing w:val="0"/>
          <w:sz w:val="32"/>
          <w:szCs w:val="32"/>
          <w:shd w:val="clear" w:fill="FFFFFF"/>
        </w:rPr>
        <w:t>是信息公开工作人员对信息公开平台的操作流程熟悉度不够，业务水平有待进一步提高。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_GB2312" w:hAnsi="仿宋_GB2312" w:eastAsia="仿宋_GB2312" w:cs="仿宋_GB2312"/>
          <w:b w:val="0"/>
          <w:bCs w:val="0"/>
          <w:i w:val="0"/>
          <w:iCs w:val="0"/>
          <w:caps w:val="0"/>
          <w:color w:val="000000"/>
          <w:spacing w:val="0"/>
          <w:kern w:val="2"/>
          <w:sz w:val="32"/>
          <w:szCs w:val="32"/>
          <w:shd w:val="clear" w:fill="FFFFFF"/>
          <w:lang w:val="en-US" w:eastAsia="zh-CN" w:bidi="ar-SA"/>
        </w:rPr>
      </w:pPr>
      <w:r>
        <w:rPr>
          <w:rFonts w:hint="eastAsia" w:ascii="仿宋_GB2312" w:eastAsia="仿宋_GB2312" w:cs="仿宋_GB2312"/>
          <w:b/>
          <w:bCs/>
          <w:i w:val="0"/>
          <w:iCs w:val="0"/>
          <w:caps w:val="0"/>
          <w:color w:val="000000"/>
          <w:spacing w:val="0"/>
          <w:sz w:val="32"/>
          <w:szCs w:val="32"/>
          <w:shd w:val="clear" w:fill="FFFFFF"/>
          <w:lang w:val="en-US" w:eastAsia="zh-CN"/>
        </w:rPr>
        <w:t>改进措施：</w:t>
      </w:r>
      <w:r>
        <w:rPr>
          <w:rFonts w:hint="default" w:ascii="仿宋_GB2312" w:hAnsi="宋体" w:eastAsia="仿宋_GB2312" w:cs="仿宋_GB2312"/>
          <w:i w:val="0"/>
          <w:iCs w:val="0"/>
          <w:caps w:val="0"/>
          <w:color w:val="000000"/>
          <w:spacing w:val="0"/>
          <w:sz w:val="32"/>
          <w:szCs w:val="32"/>
          <w:shd w:val="clear" w:fill="FFFFFF"/>
        </w:rPr>
        <w:t>一是加大信息公开工作力度</w:t>
      </w:r>
      <w:r>
        <w:rPr>
          <w:rFonts w:hint="eastAsia" w:ascii="仿宋_GB2312" w:eastAsia="仿宋_GB2312" w:cs="仿宋_GB2312"/>
          <w:i w:val="0"/>
          <w:iCs w:val="0"/>
          <w:caps w:val="0"/>
          <w:color w:val="000000"/>
          <w:spacing w:val="0"/>
          <w:sz w:val="32"/>
          <w:szCs w:val="32"/>
          <w:shd w:val="clear" w:fill="FFFFFF"/>
          <w:lang w:eastAsia="zh-CN"/>
        </w:rPr>
        <w:t>，</w:t>
      </w:r>
      <w:r>
        <w:rPr>
          <w:rFonts w:hint="default" w:ascii="仿宋_GB2312" w:hAnsi="宋体" w:eastAsia="仿宋_GB2312" w:cs="仿宋_GB2312"/>
          <w:i w:val="0"/>
          <w:iCs w:val="0"/>
          <w:caps w:val="0"/>
          <w:color w:val="000000"/>
          <w:spacing w:val="0"/>
          <w:sz w:val="32"/>
          <w:szCs w:val="32"/>
          <w:shd w:val="clear" w:fill="FFFFFF"/>
        </w:rPr>
        <w:t>把握信息时效性，及时发布和更新依法应主动公开的政府信息，不断健全完善政府信息公开制度和工作机制，确保政府信息及时公开；</w:t>
      </w:r>
      <w:r>
        <w:rPr>
          <w:rFonts w:hint="eastAsia" w:ascii="仿宋_GB2312" w:eastAsia="仿宋_GB2312" w:cs="仿宋_GB2312"/>
          <w:i w:val="0"/>
          <w:iCs w:val="0"/>
          <w:caps w:val="0"/>
          <w:color w:val="000000"/>
          <w:spacing w:val="0"/>
          <w:sz w:val="32"/>
          <w:szCs w:val="32"/>
          <w:shd w:val="clear" w:fill="FFFFFF"/>
          <w:lang w:val="en-US" w:eastAsia="zh-CN"/>
        </w:rPr>
        <w:t>二</w:t>
      </w:r>
      <w:r>
        <w:rPr>
          <w:rFonts w:hint="default" w:ascii="仿宋_GB2312" w:hAnsi="宋体" w:eastAsia="仿宋_GB2312" w:cs="仿宋_GB2312"/>
          <w:i w:val="0"/>
          <w:iCs w:val="0"/>
          <w:caps w:val="0"/>
          <w:color w:val="000000"/>
          <w:spacing w:val="0"/>
          <w:sz w:val="32"/>
          <w:szCs w:val="32"/>
          <w:shd w:val="clear" w:fill="FFFFFF"/>
        </w:rPr>
        <w:t>是加强政府信息公开工作人员的业务培训，提高工作人员的系统操作能力。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t>按照《国务院办公厅关于印发〈政府信息公开信息处理费管理办法〉的通知》（国办函〔2020〕109号）规定的按件、按量收费标准，本年度没有产生信息公开处理费。</w:t>
      </w:r>
    </w:p>
    <w:p>
      <w:pPr>
        <w:widowControl/>
        <w:shd w:val="clear" w:color="auto" w:fill="FFFFFF"/>
        <w:ind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SA"/>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zSVju0AAAAAUBAAAPAAAAAAAAAAEA&#10;IAAAACIAAABkcnMvZG93bnJldi54bWxQSwECFAAUAAAACACHTuJA2f10vd4BAAC7AwAADgAAAAAA&#10;AAABACAAAAAfAQAAZHJzL2Uyb0RvYy54bWxQSwUGAAAAAAYABgBZAQAAbw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AF8A6B"/>
    <w:multiLevelType w:val="singleLevel"/>
    <w:tmpl w:val="CFAF8A6B"/>
    <w:lvl w:ilvl="0" w:tentative="0">
      <w:start w:val="5"/>
      <w:numFmt w:val="chineseCounting"/>
      <w:suff w:val="nothing"/>
      <w:lvlText w:val="%1、"/>
      <w:lvlJc w:val="left"/>
      <w:rPr>
        <w:rFonts w:hint="eastAsia"/>
      </w:rPr>
    </w:lvl>
  </w:abstractNum>
  <w:abstractNum w:abstractNumId="1">
    <w:nsid w:val="DF077778"/>
    <w:multiLevelType w:val="singleLevel"/>
    <w:tmpl w:val="DF077778"/>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zZTU3ZWM2ZjU5Yzc5Y2EwZGUzYTNmMjNlODdhNTcifQ=="/>
    <w:docVar w:name="KSO_WPS_MARK_KEY" w:val="40d65b1a-0b28-4120-9f6a-ff6724e38dfe"/>
  </w:docVars>
  <w:rsids>
    <w:rsidRoot w:val="00000000"/>
    <w:rsid w:val="0185278D"/>
    <w:rsid w:val="047D071A"/>
    <w:rsid w:val="08171CE3"/>
    <w:rsid w:val="0BE33A26"/>
    <w:rsid w:val="12FD0B3E"/>
    <w:rsid w:val="14EF74F7"/>
    <w:rsid w:val="19C57E42"/>
    <w:rsid w:val="1BC5227F"/>
    <w:rsid w:val="20CE0E36"/>
    <w:rsid w:val="27E60EB3"/>
    <w:rsid w:val="2C0C52E9"/>
    <w:rsid w:val="2D684072"/>
    <w:rsid w:val="319F7482"/>
    <w:rsid w:val="367C2F45"/>
    <w:rsid w:val="3E0A75D5"/>
    <w:rsid w:val="3E682974"/>
    <w:rsid w:val="47CB1210"/>
    <w:rsid w:val="5B7779E4"/>
    <w:rsid w:val="5D7F0A5F"/>
    <w:rsid w:val="61F35588"/>
    <w:rsid w:val="62D502BE"/>
    <w:rsid w:val="63D926DE"/>
    <w:rsid w:val="65780CDD"/>
    <w:rsid w:val="66AA2E1B"/>
    <w:rsid w:val="68606F0B"/>
    <w:rsid w:val="71A022C5"/>
    <w:rsid w:val="72C938E6"/>
    <w:rsid w:val="73BC34D1"/>
    <w:rsid w:val="7BBC0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autoRedefine/>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1I2"/>
    <w:basedOn w:val="3"/>
    <w:autoRedefine/>
    <w:qFormat/>
    <w:uiPriority w:val="0"/>
    <w:pPr>
      <w:keepNext w:val="0"/>
      <w:keepLines w:val="0"/>
      <w:widowControl w:val="0"/>
      <w:suppressLineNumbers w:val="0"/>
      <w:spacing w:before="0" w:beforeAutospacing="0" w:after="0" w:afterAutospacing="0" w:line="360" w:lineRule="auto"/>
      <w:ind w:left="0" w:right="0" w:firstLine="420" w:firstLineChars="200"/>
      <w:jc w:val="left"/>
    </w:pPr>
    <w:rPr>
      <w:rFonts w:hint="default" w:ascii="Times New Roman" w:hAnsi="Times New Roman" w:eastAsia="宋体" w:cs="Times New Roman"/>
      <w:kern w:val="0"/>
      <w:sz w:val="24"/>
      <w:szCs w:val="24"/>
      <w:lang w:val="en-US" w:eastAsia="zh-CN" w:bidi="ar"/>
    </w:rPr>
  </w:style>
  <w:style w:type="paragraph" w:customStyle="1" w:styleId="3">
    <w:name w:val="BodyTextIndent"/>
    <w:basedOn w:val="1"/>
    <w:autoRedefine/>
    <w:qFormat/>
    <w:uiPriority w:val="0"/>
    <w:pPr>
      <w:spacing w:line="360" w:lineRule="auto"/>
      <w:ind w:firstLine="480"/>
      <w:jc w:val="left"/>
    </w:pPr>
    <w:rPr>
      <w:rFonts w:ascii="Calibri" w:hAnsi="Calibri" w:eastAsia="宋体" w:cs="仿宋_GB2312"/>
      <w:kern w:val="0"/>
      <w:sz w:val="20"/>
      <w:szCs w:val="20"/>
    </w:rPr>
  </w:style>
  <w:style w:type="paragraph" w:styleId="5">
    <w:name w:val="footer"/>
    <w:basedOn w:val="1"/>
    <w:autoRedefine/>
    <w:unhideWhenUsed/>
    <w:qFormat/>
    <w:uiPriority w:val="99"/>
    <w:pPr>
      <w:tabs>
        <w:tab w:val="center" w:pos="4153"/>
        <w:tab w:val="right" w:pos="8306"/>
      </w:tabs>
      <w:snapToGrid w:val="0"/>
      <w:jc w:val="left"/>
    </w:pPr>
    <w:rPr>
      <w:sz w:val="18"/>
    </w:rPr>
  </w:style>
  <w:style w:type="paragraph" w:styleId="6">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autoRedefine/>
    <w:qFormat/>
    <w:uiPriority w:val="22"/>
    <w:rPr>
      <w:b/>
    </w:rPr>
  </w:style>
  <w:style w:type="character" w:styleId="11">
    <w:name w:val="Emphasis"/>
    <w:basedOn w:val="9"/>
    <w:autoRedefine/>
    <w:qFormat/>
    <w:uiPriority w:val="2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Hewlett-Packard Company</Company>
  <Pages>6</Pages>
  <Words>2593</Words>
  <Characters>2732</Characters>
  <Lines>9</Lines>
  <Paragraphs>2</Paragraphs>
  <TotalTime>0</TotalTime>
  <ScaleCrop>false</ScaleCrop>
  <LinksUpToDate>false</LinksUpToDate>
  <CharactersWithSpaces>2932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2021-10-27T01:55:00Z</dcterms:created>
  <dc:creator>李小平</dc:creator>
  <cp:lastModifiedBy>陈荣礼</cp:lastModifiedBy>
  <dcterms:modified xsi:type="dcterms:W3CDTF">2024-02-21T00:39:00Z</dcterms:modified>
  <dc:title>国务院办公厅政府信息与政务公开办公室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028DBF930041407B9E0D974AFAD1FF75_13</vt:lpwstr>
  </property>
</Properties>
</file>