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line="652" w:lineRule="atLeast"/>
        <w:ind w:left="0" w:right="0" w:firstLine="0"/>
        <w:jc w:val="center"/>
        <w:rPr>
          <w:rFonts w:hint="eastAsia" w:ascii="微软雅黑" w:hAnsi="微软雅黑" w:eastAsia="微软雅黑" w:cs="微软雅黑"/>
          <w:b w:val="0"/>
          <w:bCs w:val="0"/>
          <w:i w:val="0"/>
          <w:iCs w:val="0"/>
          <w:caps w:val="0"/>
          <w:color w:val="000000"/>
          <w:spacing w:val="0"/>
          <w:sz w:val="40"/>
          <w:szCs w:val="40"/>
        </w:rPr>
      </w:pPr>
      <w:r>
        <w:rPr>
          <w:rFonts w:hint="eastAsia" w:ascii="微软雅黑" w:hAnsi="微软雅黑" w:eastAsia="微软雅黑" w:cs="微软雅黑"/>
          <w:b w:val="0"/>
          <w:bCs w:val="0"/>
          <w:i w:val="0"/>
          <w:iCs w:val="0"/>
          <w:caps w:val="0"/>
          <w:color w:val="000000"/>
          <w:spacing w:val="0"/>
          <w:sz w:val="40"/>
          <w:szCs w:val="40"/>
          <w:bdr w:val="none" w:color="auto" w:sz="0" w:space="0"/>
          <w:shd w:val="clear" w:fill="FFFFFF"/>
        </w:rPr>
        <w:t>金寨县文化旅游体育局2023年政府信息公开工作年度报告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ascii="Calibri" w:hAnsi="Calibri" w:cs="Calibri"/>
          <w:i w:val="0"/>
          <w:iCs w:val="0"/>
          <w:caps w:val="0"/>
          <w:color w:val="333333"/>
          <w:spacing w:val="0"/>
          <w:sz w:val="21"/>
          <w:szCs w:val="21"/>
        </w:rPr>
      </w:pPr>
      <w:bookmarkStart w:id="0" w:name="_GoBack"/>
      <w:bookmarkEnd w:id="0"/>
      <w:r>
        <w:rPr>
          <w:rFonts w:ascii="仿宋_GB2312" w:hAnsi="Calibri" w:eastAsia="仿宋_GB2312" w:cs="仿宋_GB2312"/>
          <w:i w:val="0"/>
          <w:iCs w:val="0"/>
          <w:caps w:val="0"/>
          <w:color w:val="333333"/>
          <w:spacing w:val="0"/>
          <w:sz w:val="32"/>
          <w:szCs w:val="32"/>
          <w:bdr w:val="none" w:color="auto" w:sz="0" w:space="0"/>
          <w:shd w:val="clear" w:fill="FFFFFF"/>
        </w:rPr>
        <w:t>本报告依据《中华人民共和国政府信息公开条例》（国务院令第</w:t>
      </w:r>
      <w:r>
        <w:rPr>
          <w:rFonts w:hint="eastAsia" w:ascii="仿宋_GB2312" w:hAnsi="Calibri" w:eastAsia="仿宋_GB2312" w:cs="仿宋_GB2312"/>
          <w:i w:val="0"/>
          <w:iCs w:val="0"/>
          <w:caps w:val="0"/>
          <w:color w:val="333333"/>
          <w:spacing w:val="0"/>
          <w:sz w:val="32"/>
          <w:szCs w:val="32"/>
          <w:bdr w:val="none" w:color="auto" w:sz="0" w:space="0"/>
          <w:shd w:val="clear" w:fill="FFFFFF"/>
        </w:rPr>
        <w:t>711号，以下简称（新《条例》）》)和《关于做好2023年度政府信息公开工作年度报告编制和发布的通知》（金政公开〔2024〕1号）要求编制而成，报告主要包括：总体情况、行政机关主动公开政府信息情况、收到和处理政府信息公开申请情况、政府信息公开行政复议及行政诉讼情况、政府信息公开工作存在的主要问题及改进情况和其他需要报告的事项。本报告中使用数据统计期限为2023年1月1日至12月31日，报告的电子版可在金寨县人民政府网站政务公开栏目  https://www.ahjinzhai.gov.cn/public/column/6596541?type=4&amp;action=list&amp;nav=3&amp;catId=7058401查看、下载。如对本报告有任何疑问，请与金寨县文化旅游体育局办公室联系（地址：金寨县江店新城区江环北路金寨县文化中心三楼，电话：0564--7356638，邮编：237321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60" w:right="0" w:firstLine="480"/>
        <w:jc w:val="both"/>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6"/>
          <w:szCs w:val="36"/>
          <w:bdr w:val="none" w:color="auto" w:sz="0" w:space="0"/>
          <w:shd w:val="clear" w:fill="FFFFFF"/>
        </w:rPr>
        <w:t>一、</w:t>
      </w:r>
      <w:r>
        <w:rPr>
          <w:rFonts w:hint="eastAsia" w:ascii="黑体" w:hAnsi="宋体" w:eastAsia="黑体" w:cs="黑体"/>
          <w:i w:val="0"/>
          <w:iCs w:val="0"/>
          <w:caps w:val="0"/>
          <w:color w:val="333333"/>
          <w:spacing w:val="0"/>
          <w:sz w:val="36"/>
          <w:szCs w:val="36"/>
          <w:bdr w:val="none" w:color="auto" w:sz="0" w:space="0"/>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2023年，我局认真贯彻落实《条例》和省市县政府信息公开有关工作要求，紧扣政务公开重点工作任务，不断夯实政府信息公开标准化规范化基础，着力提高工作透明度，切实增强人民群众满意度、获得感，政府信息公开工作的质量和水平得到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Calibri" w:hAnsi="Calibri" w:cs="Calibri"/>
          <w:i w:val="0"/>
          <w:iCs w:val="0"/>
          <w:caps w:val="0"/>
          <w:color w:val="333333"/>
          <w:spacing w:val="0"/>
          <w:sz w:val="21"/>
          <w:szCs w:val="21"/>
        </w:rPr>
      </w:pPr>
      <w:r>
        <w:rPr>
          <w:rFonts w:ascii="楷体" w:hAnsi="楷体" w:eastAsia="楷体" w:cs="楷体"/>
          <w:b/>
          <w:bCs/>
          <w:i w:val="0"/>
          <w:iCs w:val="0"/>
          <w:caps w:val="0"/>
          <w:color w:val="333333"/>
          <w:spacing w:val="0"/>
          <w:sz w:val="32"/>
          <w:szCs w:val="32"/>
          <w:bdr w:val="none" w:color="auto" w:sz="0" w:space="0"/>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我局加强政务公开标准化规范化建设，紧紧围绕中心工作和人民群众关注关切，全面推动文化体育旅游领域公开，使人民群众获取文化体育旅游领域政务信息更加方便快捷。</w:t>
      </w:r>
      <w:r>
        <w:rPr>
          <w:rFonts w:hint="eastAsia" w:ascii="仿宋_GB2312" w:hAnsi="Calibri" w:eastAsia="仿宋_GB2312" w:cs="仿宋_GB2312"/>
          <w:i w:val="0"/>
          <w:iCs w:val="0"/>
          <w:caps w:val="0"/>
          <w:color w:val="000000"/>
          <w:spacing w:val="0"/>
          <w:sz w:val="32"/>
          <w:szCs w:val="32"/>
          <w:bdr w:val="none" w:color="auto" w:sz="0" w:space="0"/>
          <w:shd w:val="clear" w:fill="FFFFFF"/>
        </w:rPr>
        <w:t>一是加强民生领域政务公开。以群众关心、社会关注、与群众利益密切的重要事项为重点，完善公共文化服务栏目，及时公开并更新金寨县公共文化机构免费开放信息40余条、公益性文化体育旅游活动等信息50余条，对社会热点和群众关切的文体旅问题，主动快速公开，正面回应关切。二是加强行政权力运行结果公开。全面公开我局权力</w:t>
      </w:r>
      <w:r>
        <w:rPr>
          <w:rFonts w:hint="eastAsia" w:ascii="仿宋_GB2312" w:hAnsi="Calibri" w:eastAsia="仿宋_GB2312" w:cs="仿宋_GB2312"/>
          <w:i w:val="0"/>
          <w:iCs w:val="0"/>
          <w:caps w:val="0"/>
          <w:color w:val="333333"/>
          <w:spacing w:val="0"/>
          <w:sz w:val="32"/>
          <w:szCs w:val="32"/>
          <w:bdr w:val="none" w:color="auto" w:sz="0" w:space="0"/>
          <w:shd w:val="clear" w:fill="FFFFFF"/>
        </w:rPr>
        <w:t>清单和责任清单，实行动态管理，对照法律法规规章，按时更新《金寨县文化旅游体育局权责事项清单》，方便公众获取、监督。2023年累计主动公开信息</w:t>
      </w:r>
      <w:r>
        <w:rPr>
          <w:rFonts w:hint="eastAsia" w:ascii="仿宋_GB2312" w:hAnsi="Calibri" w:eastAsia="仿宋_GB2312" w:cs="仿宋_GB2312"/>
          <w:i w:val="0"/>
          <w:iCs w:val="0"/>
          <w:caps w:val="0"/>
          <w:color w:val="000000"/>
          <w:spacing w:val="0"/>
          <w:sz w:val="32"/>
          <w:szCs w:val="32"/>
          <w:bdr w:val="none" w:color="auto" w:sz="0" w:space="0"/>
          <w:shd w:val="clear" w:fill="FFFFFF"/>
        </w:rPr>
        <w:t>565</w:t>
      </w:r>
      <w:r>
        <w:rPr>
          <w:rFonts w:hint="eastAsia" w:ascii="仿宋_GB2312" w:hAnsi="Calibri" w:eastAsia="仿宋_GB2312" w:cs="仿宋_GB2312"/>
          <w:i w:val="0"/>
          <w:iCs w:val="0"/>
          <w:caps w:val="0"/>
          <w:color w:val="333333"/>
          <w:spacing w:val="0"/>
          <w:sz w:val="32"/>
          <w:szCs w:val="32"/>
          <w:bdr w:val="none" w:color="auto" w:sz="0" w:space="0"/>
          <w:shd w:val="clear" w:fill="FFFFFF"/>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2023年，我局共收到政府信息依申请公开申请2件，办结2件，未出现因政府信息公开被申请行政复议、提起行政诉讼和接受行政申诉、举报的情况。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县文旅体育局高度重视政务公开工作，通过明确分管领导分管政务公开工作，办公室工作人员负责政务公开具体工作，确保信息发布准确、安全、高效，严格落实信息发布审核制度，执行“分级审核、先审后发”程序，促进政务公开工作走上制度化、规范化的轨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（四）政府信息公开平台建设情况。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一、加强对基层政务公开标准化规范化平台信息的更新和维护，及时公开。二、加强对我局微信公众号“金寨微旅游”的管理维护，并有专人负责。定期发布本单位相关动态及政府信息，针对网友的咨询、留言及时回复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一是组织做好信息公开业务培训。根据上级要求，组织相关工作人员参加专题培训，围绕政务公开工作重点，结合本局各科室、二级机构工作实际，不断增强办理人员的政务公开意识和水平，提升办理效率</w:t>
      </w:r>
      <w:r>
        <w:rPr>
          <w:rFonts w:hint="eastAsia" w:ascii="仿宋_GB2312" w:hAnsi="Calibri" w:eastAsia="仿宋_GB2312" w:cs="仿宋_GB2312"/>
          <w:i w:val="0"/>
          <w:iCs w:val="0"/>
          <w:caps w:val="0"/>
          <w:color w:val="3D3D3D"/>
          <w:spacing w:val="0"/>
          <w:sz w:val="24"/>
          <w:szCs w:val="24"/>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二是以信息公开日常监测为契机，加强问题自查自纠，推动政务公开工作落实。局办公室发挥统筹协调作用，不断强化部门联动，巡查梳理存在的问题，明确整改责任清单，推动各项任务在时间节点前顺利完成。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60" w:right="0" w:firstLine="48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84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23"/>
        <w:gridCol w:w="2124"/>
        <w:gridCol w:w="2124"/>
        <w:gridCol w:w="2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2435"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w:t>
            </w:r>
            <w:r>
              <w:rPr>
                <w:rFonts w:hint="eastAsia" w:ascii="宋体" w:hAnsi="宋体" w:eastAsia="宋体" w:cs="宋体"/>
                <w:sz w:val="20"/>
                <w:szCs w:val="20"/>
                <w:bdr w:val="none" w:color="auto" w:sz="0" w:space="0"/>
              </w:rPr>
              <w:t>制发件数</w:t>
            </w:r>
          </w:p>
        </w:tc>
        <w:tc>
          <w:tcPr>
            <w:tcW w:w="2435"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本年废止件数</w:t>
            </w:r>
          </w:p>
        </w:tc>
        <w:tc>
          <w:tcPr>
            <w:tcW w:w="2435"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现行有效件</w:t>
            </w:r>
            <w:r>
              <w:rPr>
                <w:rFonts w:hint="eastAsia" w:ascii="宋体" w:hAnsi="宋体" w:eastAsia="宋体" w:cs="宋体"/>
                <w:sz w:val="20"/>
                <w:szCs w:val="20"/>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规章</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行政规范性文件</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FF"/>
                <w:sz w:val="20"/>
                <w:szCs w:val="20"/>
                <w:bdr w:val="none" w:color="auto" w:sz="0" w:space="0"/>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行政许可</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仿宋_GB2312" w:cs="Calibri"/>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行政处罚</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行政强制</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行政事业性收费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ascii="微软雅黑" w:hAnsi="微软雅黑" w:eastAsia="微软雅黑" w:cs="微软雅黑"/>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60" w:right="0" w:firstLine="48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29" w:type="dxa"/>
            <w:gridSpan w:val="3"/>
            <w:vMerge w:val="restart"/>
            <w:tcBorders>
              <w:top w:val="single" w:color="auto" w:sz="6" w:space="0"/>
              <w:left w:val="single" w:color="auto" w:sz="6" w:space="0"/>
              <w:bottom w:val="outset" w:color="auto" w:sz="5"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29" w:type="dxa"/>
            <w:gridSpan w:val="3"/>
            <w:vMerge w:val="continue"/>
            <w:tcBorders>
              <w:top w:val="single" w:color="auto" w:sz="6" w:space="0"/>
              <w:left w:val="single" w:color="auto" w:sz="6" w:space="0"/>
              <w:bottom w:val="outset" w:color="auto" w:sz="5"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88" w:type="dxa"/>
            <w:vMerge w:val="restart"/>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自然人</w:t>
            </w:r>
          </w:p>
        </w:tc>
        <w:tc>
          <w:tcPr>
            <w:tcW w:w="3440" w:type="dxa"/>
            <w:gridSpan w:val="5"/>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法人或其他组织</w:t>
            </w:r>
          </w:p>
        </w:tc>
        <w:tc>
          <w:tcPr>
            <w:tcW w:w="688" w:type="dxa"/>
            <w:vMerge w:val="restart"/>
            <w:tcBorders>
              <w:top w:val="single" w:color="auto" w:sz="6" w:space="0"/>
              <w:left w:val="nil"/>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29" w:type="dxa"/>
            <w:gridSpan w:val="3"/>
            <w:vMerge w:val="continue"/>
            <w:tcBorders>
              <w:top w:val="single" w:color="auto" w:sz="6" w:space="0"/>
              <w:left w:val="single" w:color="auto" w:sz="6" w:space="0"/>
              <w:bottom w:val="outset" w:color="auto" w:sz="5"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88" w:type="dxa"/>
            <w:vMerge w:val="continue"/>
            <w:tcBorders>
              <w:top w:val="nil"/>
              <w:left w:val="nil"/>
              <w:bottom w:val="single" w:color="auto" w:sz="6"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企业</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机构</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社会公益组织</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法律服务机构</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tc>
        <w:tc>
          <w:tcPr>
            <w:tcW w:w="688" w:type="dxa"/>
            <w:vMerge w:val="continue"/>
            <w:tcBorders>
              <w:top w:val="single" w:color="auto" w:sz="6" w:space="0"/>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一、本年新收政府信息公开申请数量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2</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二、上年结转政府信息公开申请数量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restart"/>
            <w:tcBorders>
              <w:top w:val="nil"/>
              <w:left w:val="single" w:color="auto" w:sz="6" w:space="0"/>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三、本年度办理结果</w:t>
            </w: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（一）予以公开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2</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2</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（二）部分公开</w:t>
            </w:r>
            <w:r>
              <w:rPr>
                <w:rFonts w:hint="eastAsia" w:ascii="楷体" w:hAnsi="楷体" w:eastAsia="楷体" w:cs="楷体"/>
                <w:sz w:val="20"/>
                <w:szCs w:val="20"/>
                <w:bdr w:val="none" w:color="auto" w:sz="0" w:space="0"/>
              </w:rPr>
              <w:t>（区分处理的，只计这一情形，不计其他情形）</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（三）不予公开</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1.属于国家秘密</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2.其他法律行政法规禁止公开</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3.危及“三安全一稳定”</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4.保护第三方合法权益</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5.属于三类内部事务信息</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6.属于四类过程性信息</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7.属于行政执法案卷</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8.属于行政查询事项</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（四）无法提供</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1.本机关不掌握相关政府信息</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2.没有现成信息需要另行制作</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3.补正后申请内容仍不明确</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（五）不予处理</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1.信访举报投诉类申请</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2.重复申请</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3.要求提供公开出版物</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4.无正当理由大量反复申请</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5.要求行政机关确认或重新出具已获取信息</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outset" w:color="auto" w:sz="5"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5"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（六）其他处理</w:t>
            </w: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3.其他</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767" w:type="dxa"/>
            <w:vMerge w:val="continue"/>
            <w:tcBorders>
              <w:top w:val="nil"/>
              <w:left w:val="single" w:color="auto" w:sz="6" w:space="0"/>
              <w:bottom w:val="outset" w:color="auto" w:sz="5" w:space="0"/>
              <w:right w:val="single" w:color="auto" w:sz="6" w:space="0"/>
            </w:tcBorders>
            <w:shd w:val="clear"/>
            <w:tcMar>
              <w:left w:w="57"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（七）总计</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2</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四、结转下年度继续办理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0 </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 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 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333333"/>
          <w:spacing w:val="0"/>
          <w:sz w:val="36"/>
          <w:szCs w:val="36"/>
          <w:bdr w:val="none" w:color="auto" w:sz="0" w:space="0"/>
          <w:shd w:val="clear" w:fill="FFFFFF"/>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行政复议</w:t>
            </w:r>
          </w:p>
        </w:tc>
        <w:tc>
          <w:tcPr>
            <w:tcW w:w="6498" w:type="dxa"/>
            <w:gridSpan w:val="10"/>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649" w:type="dxa"/>
            <w:vMerge w:val="restart"/>
            <w:tcBorders>
              <w:top w:val="nil"/>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结果维持</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纠正</w:t>
            </w:r>
          </w:p>
        </w:tc>
        <w:tc>
          <w:tcPr>
            <w:tcW w:w="649" w:type="dxa"/>
            <w:vMerge w:val="restart"/>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tc>
        <w:tc>
          <w:tcPr>
            <w:tcW w:w="649" w:type="dxa"/>
            <w:vMerge w:val="restart"/>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审结</w:t>
            </w:r>
          </w:p>
        </w:tc>
        <w:tc>
          <w:tcPr>
            <w:tcW w:w="649" w:type="dxa"/>
            <w:vMerge w:val="restart"/>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c>
          <w:tcPr>
            <w:tcW w:w="3248" w:type="dxa"/>
            <w:gridSpan w:val="5"/>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未经复议直接起诉</w:t>
            </w:r>
          </w:p>
        </w:tc>
        <w:tc>
          <w:tcPr>
            <w:tcW w:w="3250" w:type="dxa"/>
            <w:gridSpan w:val="5"/>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649" w:type="dxa"/>
            <w:vMerge w:val="continue"/>
            <w:tcBorders>
              <w:top w:val="nil"/>
              <w:left w:val="single" w:color="auto" w:sz="6" w:space="0"/>
              <w:bottom w:val="single" w:color="auto" w:sz="6"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left w:w="108"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维持</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维持</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9" w:hRule="atLeast"/>
          <w:jc w:val="center"/>
        </w:trPr>
        <w:tc>
          <w:tcPr>
            <w:tcW w:w="649"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黑体" w:hAnsi="宋体" w:eastAsia="黑体" w:cs="黑体"/>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（一）存在的主要问题</w:t>
      </w:r>
      <w:r>
        <w:rPr>
          <w:rFonts w:hint="eastAsia" w:ascii="仿宋_GB2312" w:hAnsi="Calibri" w:eastAsia="仿宋_GB2312" w:cs="仿宋_GB2312"/>
          <w:i w:val="0"/>
          <w:iCs w:val="0"/>
          <w:caps w:val="0"/>
          <w:color w:val="333333"/>
          <w:spacing w:val="0"/>
          <w:sz w:val="32"/>
          <w:szCs w:val="32"/>
          <w:bdr w:val="none" w:color="auto" w:sz="0" w:space="0"/>
          <w:shd w:val="clear" w:fill="FFFFFF"/>
        </w:rPr>
        <w:t>：政府信息公开意识还有待进一步加强，与群众切身利益、方便群众办事、群众关心关注的政府信息公开还有不及时、不全面、不具体等问题。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（二）改进措施：</w:t>
      </w:r>
      <w:r>
        <w:rPr>
          <w:rFonts w:hint="eastAsia" w:ascii="仿宋_GB2312" w:hAnsi="Calibri" w:eastAsia="仿宋_GB2312" w:cs="仿宋_GB2312"/>
          <w:i w:val="0"/>
          <w:iCs w:val="0"/>
          <w:caps w:val="0"/>
          <w:color w:val="333333"/>
          <w:spacing w:val="0"/>
          <w:sz w:val="32"/>
          <w:szCs w:val="32"/>
          <w:bdr w:val="none" w:color="auto" w:sz="0" w:space="0"/>
          <w:shd w:val="clear" w:fill="FFFFFF"/>
        </w:rPr>
        <w:t>进一步加大政府信息公开工作力度，进一步细化、优化政府信息公开目录，不断丰富信息内容，促进信息公开全面、具体。充分利用信息公开网站，将文化旅游特色工作、群众关心的公益性活动等信息广泛公开，丰富内容，提高公开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黑体" w:hAnsi="宋体" w:eastAsia="黑体" w:cs="黑体"/>
          <w:i w:val="0"/>
          <w:iCs w:val="0"/>
          <w:caps w:val="0"/>
          <w:color w:val="333333"/>
          <w:spacing w:val="0"/>
          <w:sz w:val="36"/>
          <w:szCs w:val="36"/>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333333"/>
          <w:spacing w:val="0"/>
          <w:sz w:val="32"/>
          <w:szCs w:val="32"/>
          <w:bdr w:val="none" w:color="auto" w:sz="0" w:space="0"/>
          <w:shd w:val="clear" w:fill="FFFFFF"/>
        </w:rPr>
        <w:t>按照《国务院办公厅关于印发〈政府信息公开信息处理费管理办法〉的通知》（国办函〔2020〕109号）规定的按件、按量收费标准，本年度没有产生信息公开处理费</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Calibri" w:eastAsia="仿宋_GB2312" w:cs="仿宋_GB2312"/>
          <w:i w:val="0"/>
          <w:iCs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金寨县文化旅游体育局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2024年1月19日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ODZiZGNlYWU5OGViNzkxZjQ4NzE4Zjg5ZDQyZTYifQ=="/>
  </w:docVars>
  <w:rsids>
    <w:rsidRoot w:val="25A63C8E"/>
    <w:rsid w:val="01696351"/>
    <w:rsid w:val="05860F0E"/>
    <w:rsid w:val="05D460D3"/>
    <w:rsid w:val="05E85AE7"/>
    <w:rsid w:val="0BA60F0C"/>
    <w:rsid w:val="0CA52B77"/>
    <w:rsid w:val="0CB069C4"/>
    <w:rsid w:val="132C7404"/>
    <w:rsid w:val="180F6CFF"/>
    <w:rsid w:val="1A595FF7"/>
    <w:rsid w:val="21BD6606"/>
    <w:rsid w:val="24E57B40"/>
    <w:rsid w:val="25A63C8E"/>
    <w:rsid w:val="297A7A14"/>
    <w:rsid w:val="2D400257"/>
    <w:rsid w:val="359A32E2"/>
    <w:rsid w:val="36345DD5"/>
    <w:rsid w:val="36E44B5F"/>
    <w:rsid w:val="395427A5"/>
    <w:rsid w:val="3DF15EAF"/>
    <w:rsid w:val="3F3F31DD"/>
    <w:rsid w:val="413C1AB1"/>
    <w:rsid w:val="424F52E3"/>
    <w:rsid w:val="432E340C"/>
    <w:rsid w:val="43760D17"/>
    <w:rsid w:val="43A97452"/>
    <w:rsid w:val="45935213"/>
    <w:rsid w:val="47290CC2"/>
    <w:rsid w:val="4D2630A1"/>
    <w:rsid w:val="527508C2"/>
    <w:rsid w:val="52B51F78"/>
    <w:rsid w:val="554D40A7"/>
    <w:rsid w:val="5FD27B7A"/>
    <w:rsid w:val="63194DAA"/>
    <w:rsid w:val="6320768D"/>
    <w:rsid w:val="6BE611C8"/>
    <w:rsid w:val="6EC73333"/>
    <w:rsid w:val="71EE7E83"/>
    <w:rsid w:val="72C70F09"/>
    <w:rsid w:val="72E123E7"/>
    <w:rsid w:val="762C4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2024-02-21T03:43:00Z</dcterms:created>
  <dc:creator>admin</dc:creator>
  <cp:lastModifiedBy>admin</cp:lastModifiedBy>
  <dcterms:modified xsi:type="dcterms:W3CDTF">2024-02-21T03:44:02Z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3E3E871072204847B4DE1B843659B67F_11</vt:lpwstr>
  </property>
</Properties>
</file>