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CC48FC" w:rsidP="00CC48FC">
      <w:pPr>
        <w:spacing w:line="220" w:lineRule="atLeast"/>
        <w:jc w:val="center"/>
        <w:rPr>
          <w:rFonts w:ascii="微软雅黑" w:hAnsi="微软雅黑" w:cs="Arial"/>
          <w:sz w:val="36"/>
          <w:szCs w:val="45"/>
        </w:rPr>
      </w:pPr>
      <w:r w:rsidRPr="00CC48FC">
        <w:rPr>
          <w:rFonts w:ascii="微软雅黑" w:hAnsi="微软雅黑" w:cs="Arial" w:hint="eastAsia"/>
          <w:sz w:val="36"/>
          <w:szCs w:val="45"/>
        </w:rPr>
        <w:t>金寨县公安局2023年政府信息公开工作年度报告</w:t>
      </w:r>
    </w:p>
    <w:p w:rsidR="00CC48FC" w:rsidRPr="00CC48FC" w:rsidRDefault="00CC48FC" w:rsidP="00CC48FC">
      <w:pPr>
        <w:shd w:val="clear" w:color="auto" w:fill="FFFFFF"/>
        <w:adjustRightInd/>
        <w:snapToGrid/>
        <w:spacing w:after="0" w:line="600" w:lineRule="exact"/>
        <w:ind w:firstLineChars="200" w:firstLine="600"/>
        <w:jc w:val="both"/>
        <w:rPr>
          <w:rFonts w:ascii="微软雅黑" w:hAnsi="微软雅黑" w:cs="Arial"/>
          <w:color w:val="333333"/>
          <w:sz w:val="21"/>
          <w:szCs w:val="21"/>
        </w:rPr>
      </w:pPr>
      <w:r w:rsidRPr="00CC48FC">
        <w:rPr>
          <w:rFonts w:ascii="仿宋" w:eastAsia="仿宋" w:hAnsi="仿宋" w:cs="Arial" w:hint="eastAsia"/>
          <w:color w:val="333333"/>
          <w:sz w:val="30"/>
          <w:szCs w:val="30"/>
          <w:shd w:val="clear" w:color="auto" w:fill="FFFFFF"/>
        </w:rPr>
        <w:t>本报告依据《中华人民共和国政府信息公开条例》（国务院令第711号，以下简称新《条例》）和《金寨县政务公开办公室关于做好202</w:t>
      </w:r>
      <w:r w:rsidR="00421649">
        <w:rPr>
          <w:rFonts w:ascii="仿宋" w:eastAsia="仿宋" w:hAnsi="仿宋" w:cs="Arial" w:hint="eastAsia"/>
          <w:color w:val="333333"/>
          <w:sz w:val="30"/>
          <w:szCs w:val="30"/>
          <w:shd w:val="clear" w:color="auto" w:fill="FFFFFF"/>
        </w:rPr>
        <w:t>3</w:t>
      </w:r>
      <w:r w:rsidRPr="00CC48FC">
        <w:rPr>
          <w:rFonts w:ascii="仿宋" w:eastAsia="仿宋" w:hAnsi="仿宋" w:cs="Arial" w:hint="eastAsia"/>
          <w:color w:val="333333"/>
          <w:sz w:val="30"/>
          <w:szCs w:val="30"/>
          <w:shd w:val="clear" w:color="auto" w:fill="FFFFFF"/>
        </w:rPr>
        <w:t>年度政府信息公开年度报告编制和发布的通知》（金政公开〔202</w:t>
      </w:r>
      <w:r w:rsidR="00421649">
        <w:rPr>
          <w:rFonts w:ascii="仿宋" w:eastAsia="仿宋" w:hAnsi="仿宋" w:cs="Arial" w:hint="eastAsia"/>
          <w:color w:val="333333"/>
          <w:sz w:val="30"/>
          <w:szCs w:val="30"/>
          <w:shd w:val="clear" w:color="auto" w:fill="FFFFFF"/>
        </w:rPr>
        <w:t>4</w:t>
      </w:r>
      <w:r w:rsidRPr="00CC48FC">
        <w:rPr>
          <w:rFonts w:ascii="仿宋" w:eastAsia="仿宋" w:hAnsi="仿宋" w:cs="Arial" w:hint="eastAsia"/>
          <w:color w:val="333333"/>
          <w:sz w:val="30"/>
          <w:szCs w:val="30"/>
          <w:shd w:val="clear" w:color="auto" w:fill="FFFFFF"/>
        </w:rPr>
        <w:t>〕1号）要求编制而成。全文包括总体情况、主动公开政府信息情况、收到和处理政府信息公开申请情况、政府信息公开行政复议和行政诉讼情况、存在的主要问题和改进情况和其他需要报告的事项。本报告中使用数据统计期限为2023年1月1日至12月31日，电子版可在</w:t>
      </w:r>
      <w:r w:rsidRPr="00CC48FC">
        <w:rPr>
          <w:rFonts w:ascii="仿宋" w:eastAsia="仿宋" w:hAnsi="仿宋" w:cs="Tahoma" w:hint="eastAsia"/>
          <w:color w:val="333333"/>
          <w:kern w:val="2"/>
          <w:sz w:val="30"/>
          <w:szCs w:val="30"/>
        </w:rPr>
        <w:t>金寨县信息公开平台（h</w:t>
      </w:r>
      <w:hyperlink r:id="rId4" w:history="1">
        <w:r w:rsidRPr="00CC48FC">
          <w:rPr>
            <w:rFonts w:ascii="仿宋" w:eastAsia="仿宋" w:hAnsi="仿宋" w:cs="Tahoma" w:hint="eastAsia"/>
            <w:color w:val="333333"/>
            <w:kern w:val="2"/>
            <w:sz w:val="30"/>
          </w:rPr>
          <w:t>ttp://www.ahjinzhai.gov.cn/public/index.html</w:t>
        </w:r>
      </w:hyperlink>
      <w:r w:rsidRPr="00CC48FC">
        <w:rPr>
          <w:rFonts w:ascii="仿宋" w:eastAsia="仿宋" w:hAnsi="仿宋" w:cs="Tahoma" w:hint="eastAsia"/>
          <w:color w:val="333333"/>
          <w:kern w:val="2"/>
          <w:sz w:val="30"/>
          <w:szCs w:val="30"/>
        </w:rPr>
        <w:t>）</w:t>
      </w:r>
      <w:r w:rsidRPr="00CC48FC">
        <w:rPr>
          <w:rFonts w:ascii="仿宋" w:eastAsia="仿宋" w:hAnsi="仿宋" w:cs="Arial" w:hint="eastAsia"/>
          <w:color w:val="333333"/>
          <w:sz w:val="30"/>
          <w:szCs w:val="30"/>
          <w:shd w:val="clear" w:color="auto" w:fill="FFFFFF"/>
        </w:rPr>
        <w:t>下载。如对本报告有任何疑问，请与金寨县公安局行政审批服务股联系（地址：安徽省金寨县现代产业园区金梧桐创业园金寨政务服务中心二楼，邮编：237300，电话：0564-7051055）。</w:t>
      </w:r>
    </w:p>
    <w:p w:rsidR="00CC48FC" w:rsidRPr="00CC48FC" w:rsidRDefault="00CC48FC" w:rsidP="00CC48FC">
      <w:pPr>
        <w:shd w:val="clear" w:color="auto" w:fill="FFFFFF"/>
        <w:adjustRightInd/>
        <w:snapToGrid/>
        <w:spacing w:after="0" w:line="600" w:lineRule="exact"/>
        <w:ind w:firstLineChars="200" w:firstLine="640"/>
        <w:jc w:val="both"/>
        <w:rPr>
          <w:rFonts w:ascii="微软雅黑" w:hAnsi="微软雅黑" w:cs="Arial"/>
          <w:color w:val="333333"/>
          <w:sz w:val="21"/>
          <w:szCs w:val="21"/>
        </w:rPr>
      </w:pPr>
      <w:r w:rsidRPr="00CC48FC">
        <w:rPr>
          <w:rFonts w:ascii="黑体" w:eastAsia="黑体" w:hAnsi="黑体" w:cs="Arial" w:hint="eastAsia"/>
          <w:color w:val="333333"/>
          <w:sz w:val="32"/>
          <w:szCs w:val="32"/>
          <w:shd w:val="clear" w:color="auto" w:fill="FFFFFF"/>
        </w:rPr>
        <w:t>一、总体情况</w:t>
      </w:r>
    </w:p>
    <w:p w:rsidR="00CC48FC" w:rsidRPr="00CC48FC" w:rsidRDefault="00CC48FC" w:rsidP="00CC48FC">
      <w:pPr>
        <w:shd w:val="clear" w:color="auto" w:fill="FFFFFF"/>
        <w:adjustRightInd/>
        <w:snapToGrid/>
        <w:spacing w:after="0" w:line="600" w:lineRule="exact"/>
        <w:ind w:firstLineChars="200" w:firstLine="600"/>
        <w:jc w:val="both"/>
        <w:rPr>
          <w:rFonts w:ascii="微软雅黑" w:hAnsi="微软雅黑" w:cs="Arial"/>
          <w:color w:val="333333"/>
          <w:sz w:val="21"/>
          <w:szCs w:val="21"/>
        </w:rPr>
      </w:pPr>
      <w:r w:rsidRPr="00CC48FC">
        <w:rPr>
          <w:rFonts w:ascii="仿宋" w:eastAsia="仿宋" w:hAnsi="仿宋" w:cs="Arial" w:hint="eastAsia"/>
          <w:color w:val="333333"/>
          <w:sz w:val="30"/>
          <w:szCs w:val="30"/>
          <w:shd w:val="clear" w:color="auto" w:fill="FFFFFF"/>
        </w:rPr>
        <w:t>2023年，金寨县公安局</w:t>
      </w:r>
      <w:r w:rsidRPr="00CC48FC">
        <w:rPr>
          <w:rFonts w:ascii="仿宋" w:eastAsia="仿宋" w:hAnsi="仿宋" w:cs="Arial" w:hint="eastAsia"/>
          <w:color w:val="333333"/>
          <w:spacing w:val="8"/>
          <w:sz w:val="30"/>
          <w:szCs w:val="30"/>
          <w:shd w:val="clear" w:color="auto" w:fill="FFFFFF"/>
        </w:rPr>
        <w:t>根据县政务公开办工作统一部署和要求，把政府信息公</w:t>
      </w:r>
      <w:r w:rsidRPr="00CC48FC">
        <w:rPr>
          <w:rFonts w:ascii="仿宋" w:eastAsia="仿宋" w:hAnsi="仿宋" w:cs="Arial" w:hint="eastAsia"/>
          <w:color w:val="333333"/>
          <w:sz w:val="30"/>
          <w:szCs w:val="30"/>
          <w:shd w:val="clear" w:color="auto" w:fill="FFFFFF"/>
        </w:rPr>
        <w:t>开工作作为重点工作推进。聚焦公众需求，丰富政策解读形式，切实回应社会公众关切。</w:t>
      </w:r>
    </w:p>
    <w:p w:rsidR="00CC48FC" w:rsidRPr="00CC48FC" w:rsidRDefault="00CC48FC" w:rsidP="00CC48FC">
      <w:pPr>
        <w:shd w:val="clear" w:color="auto" w:fill="FFFFFF"/>
        <w:adjustRightInd/>
        <w:snapToGrid/>
        <w:spacing w:after="0" w:line="600" w:lineRule="exact"/>
        <w:ind w:firstLineChars="200" w:firstLine="600"/>
        <w:jc w:val="both"/>
        <w:rPr>
          <w:rFonts w:ascii="微软雅黑" w:hAnsi="微软雅黑" w:cs="Arial"/>
          <w:color w:val="333333"/>
          <w:sz w:val="21"/>
          <w:szCs w:val="21"/>
        </w:rPr>
      </w:pPr>
      <w:r w:rsidRPr="00CC48FC">
        <w:rPr>
          <w:rFonts w:ascii="黑体" w:eastAsia="黑体" w:hAnsi="黑体" w:cs="Arial" w:hint="eastAsia"/>
          <w:color w:val="333333"/>
          <w:sz w:val="30"/>
          <w:szCs w:val="30"/>
          <w:shd w:val="clear" w:color="auto" w:fill="FFFFFF"/>
        </w:rPr>
        <w:t>（一）主动公开政府信息情况</w:t>
      </w:r>
    </w:p>
    <w:p w:rsidR="00CC48FC" w:rsidRPr="00CC48FC" w:rsidRDefault="00CC48FC" w:rsidP="00CC48FC">
      <w:pPr>
        <w:shd w:val="clear" w:color="auto" w:fill="FFFFFF"/>
        <w:adjustRightInd/>
        <w:snapToGrid/>
        <w:spacing w:after="0" w:line="600" w:lineRule="exact"/>
        <w:ind w:firstLineChars="200" w:firstLine="618"/>
        <w:jc w:val="both"/>
        <w:rPr>
          <w:rFonts w:ascii="微软雅黑" w:hAnsi="微软雅黑" w:cs="Arial"/>
          <w:color w:val="333333"/>
          <w:sz w:val="21"/>
          <w:szCs w:val="21"/>
        </w:rPr>
      </w:pPr>
      <w:r w:rsidRPr="00CC48FC">
        <w:rPr>
          <w:rFonts w:ascii="仿宋" w:eastAsia="仿宋" w:hAnsi="仿宋" w:cs="Arial" w:hint="eastAsia"/>
          <w:b/>
          <w:color w:val="333333"/>
          <w:spacing w:val="8"/>
          <w:sz w:val="30"/>
          <w:szCs w:val="30"/>
          <w:shd w:val="clear" w:color="auto" w:fill="FFFFFF"/>
        </w:rPr>
        <w:t>规范发布部门信息。</w:t>
      </w:r>
      <w:r w:rsidRPr="00CC48FC">
        <w:rPr>
          <w:rFonts w:ascii="仿宋" w:eastAsia="仿宋" w:hAnsi="仿宋" w:cs="Arial" w:hint="eastAsia"/>
          <w:color w:val="333333"/>
          <w:spacing w:val="8"/>
          <w:sz w:val="30"/>
          <w:szCs w:val="30"/>
          <w:shd w:val="clear" w:color="auto" w:fill="FFFFFF"/>
        </w:rPr>
        <w:t>加强</w:t>
      </w:r>
      <w:r w:rsidRPr="00CC48FC">
        <w:rPr>
          <w:rFonts w:ascii="仿宋" w:eastAsia="仿宋" w:hAnsi="仿宋" w:cs="Arial" w:hint="eastAsia"/>
          <w:color w:val="333333"/>
          <w:sz w:val="30"/>
          <w:szCs w:val="30"/>
          <w:shd w:val="clear" w:color="auto" w:fill="FFFFFF"/>
        </w:rPr>
        <w:t>政府信息公开专栏栏目规范设置，确保公开信息要素齐全、信息公开及时、内容完整，不断提升信息公开质量，</w:t>
      </w:r>
      <w:r w:rsidRPr="00CC48FC">
        <w:rPr>
          <w:rFonts w:ascii="仿宋" w:eastAsia="仿宋" w:hAnsi="仿宋" w:cs="Arial" w:hint="eastAsia"/>
          <w:color w:val="333333"/>
          <w:spacing w:val="8"/>
          <w:sz w:val="30"/>
          <w:szCs w:val="30"/>
          <w:shd w:val="clear" w:color="auto" w:fill="FFFFFF"/>
        </w:rPr>
        <w:t>主动公开各类警务信息1300余条。做好机构职能、权责清单、双随机一公开等信息发布工作，针对广大</w:t>
      </w:r>
      <w:r w:rsidRPr="00CC48FC">
        <w:rPr>
          <w:rFonts w:ascii="仿宋" w:eastAsia="仿宋" w:hAnsi="仿宋" w:cs="Arial" w:hint="eastAsia"/>
          <w:color w:val="333333"/>
          <w:spacing w:val="8"/>
          <w:sz w:val="30"/>
          <w:szCs w:val="30"/>
          <w:shd w:val="clear" w:color="auto" w:fill="FFFFFF"/>
        </w:rPr>
        <w:lastRenderedPageBreak/>
        <w:t>群众关注的社会热点，及时在网上发布公安便民举措，主动公开公共服务类信息442条，政策解读信息12条，回应关切60条。</w:t>
      </w:r>
      <w:r w:rsidRPr="00CC48FC">
        <w:rPr>
          <w:rFonts w:ascii="仿宋" w:eastAsia="仿宋" w:hAnsi="仿宋" w:cs="Arial" w:hint="eastAsia"/>
          <w:b/>
          <w:color w:val="333333"/>
          <w:spacing w:val="8"/>
          <w:sz w:val="30"/>
          <w:szCs w:val="30"/>
          <w:shd w:val="clear" w:color="auto" w:fill="FFFFFF"/>
        </w:rPr>
        <w:t>推动重点领域、基层“两化”领域信息公开。</w:t>
      </w:r>
      <w:r w:rsidRPr="00CC48FC">
        <w:rPr>
          <w:rFonts w:ascii="仿宋" w:eastAsia="仿宋" w:hAnsi="仿宋" w:cs="Arial" w:hint="eastAsia"/>
          <w:color w:val="333333"/>
          <w:spacing w:val="8"/>
          <w:sz w:val="30"/>
          <w:szCs w:val="30"/>
          <w:shd w:val="clear" w:color="auto" w:fill="FFFFFF"/>
        </w:rPr>
        <w:t>全面加强民生领域信息公开，及时发布公安户籍管理领域办事指南和治安管理领域最新政策、工作开展情况，让公众及时准确了解公安政务服务领域最新动态。规范发布重点领域信息166条，“两化”领域信息81条。</w:t>
      </w:r>
    </w:p>
    <w:p w:rsidR="00CC48FC" w:rsidRPr="00CC48FC" w:rsidRDefault="00CC48FC" w:rsidP="00CC48FC">
      <w:pPr>
        <w:shd w:val="clear" w:color="auto" w:fill="FFFFFF"/>
        <w:adjustRightInd/>
        <w:snapToGrid/>
        <w:spacing w:after="0" w:line="600" w:lineRule="exact"/>
        <w:ind w:firstLineChars="200" w:firstLine="600"/>
        <w:jc w:val="both"/>
        <w:rPr>
          <w:rFonts w:ascii="微软雅黑" w:hAnsi="微软雅黑" w:cs="Arial"/>
          <w:color w:val="333333"/>
          <w:sz w:val="21"/>
          <w:szCs w:val="21"/>
        </w:rPr>
      </w:pPr>
      <w:r w:rsidRPr="00CC48FC">
        <w:rPr>
          <w:rFonts w:ascii="黑体" w:eastAsia="黑体" w:hAnsi="黑体" w:cs="Arial" w:hint="eastAsia"/>
          <w:color w:val="333333"/>
          <w:sz w:val="30"/>
          <w:szCs w:val="30"/>
          <w:shd w:val="clear" w:color="auto" w:fill="FFFFFF"/>
        </w:rPr>
        <w:t>（二）依申请公开政府信息情况</w:t>
      </w:r>
    </w:p>
    <w:p w:rsidR="00CC48FC" w:rsidRPr="00CC48FC" w:rsidRDefault="00CC48FC" w:rsidP="00CC48FC">
      <w:pPr>
        <w:shd w:val="clear" w:color="auto" w:fill="FFFFFF"/>
        <w:adjustRightInd/>
        <w:snapToGrid/>
        <w:spacing w:after="0" w:line="600" w:lineRule="exact"/>
        <w:ind w:firstLineChars="200" w:firstLine="616"/>
        <w:jc w:val="both"/>
        <w:rPr>
          <w:rFonts w:ascii="微软雅黑" w:hAnsi="微软雅黑" w:cs="Arial"/>
          <w:color w:val="333333"/>
          <w:sz w:val="21"/>
          <w:szCs w:val="21"/>
        </w:rPr>
      </w:pPr>
      <w:r w:rsidRPr="00CC48FC">
        <w:rPr>
          <w:rFonts w:ascii="仿宋" w:eastAsia="仿宋" w:hAnsi="仿宋" w:cs="Arial" w:hint="eastAsia"/>
          <w:color w:val="333333"/>
          <w:spacing w:val="8"/>
          <w:sz w:val="30"/>
          <w:szCs w:val="30"/>
          <w:shd w:val="clear" w:color="auto" w:fill="FFFFFF"/>
        </w:rPr>
        <w:t>明确专人负责依申请公开工作，确保收到申请后第一时间登记受理，规范依申请公开办理流程。年度共受理依申请公开办件1件，为线上申请，在规定时限内向</w:t>
      </w:r>
      <w:r w:rsidRPr="00CC48FC">
        <w:rPr>
          <w:rFonts w:ascii="仿宋" w:eastAsia="仿宋" w:hAnsi="仿宋" w:cs="Arial" w:hint="eastAsia"/>
          <w:color w:val="333333"/>
          <w:sz w:val="30"/>
          <w:szCs w:val="30"/>
          <w:shd w:val="clear" w:color="auto" w:fill="FFFFFF"/>
        </w:rPr>
        <w:t>申请人回复，并做好解释工作，申请人表示满意，无行政诉讼和行政复议发生。</w:t>
      </w:r>
    </w:p>
    <w:p w:rsidR="00CC48FC" w:rsidRPr="00CC48FC" w:rsidRDefault="00CC48FC" w:rsidP="00CC48FC">
      <w:pPr>
        <w:shd w:val="clear" w:color="auto" w:fill="FFFFFF"/>
        <w:adjustRightInd/>
        <w:snapToGrid/>
        <w:spacing w:after="0" w:line="600" w:lineRule="exact"/>
        <w:ind w:firstLineChars="200" w:firstLine="600"/>
        <w:jc w:val="both"/>
        <w:rPr>
          <w:rFonts w:ascii="微软雅黑" w:hAnsi="微软雅黑" w:cs="Arial"/>
          <w:color w:val="333333"/>
          <w:sz w:val="21"/>
          <w:szCs w:val="21"/>
        </w:rPr>
      </w:pPr>
      <w:r w:rsidRPr="00CC48FC">
        <w:rPr>
          <w:rFonts w:ascii="黑体" w:eastAsia="黑体" w:hAnsi="黑体" w:cs="Arial" w:hint="eastAsia"/>
          <w:color w:val="333333"/>
          <w:sz w:val="30"/>
          <w:szCs w:val="30"/>
          <w:shd w:val="clear" w:color="auto" w:fill="FFFFFF"/>
        </w:rPr>
        <w:t>（三）政府信息管理情况</w:t>
      </w:r>
    </w:p>
    <w:p w:rsidR="00CC48FC" w:rsidRPr="00CC48FC" w:rsidRDefault="00CC48FC" w:rsidP="00CC48FC">
      <w:pPr>
        <w:shd w:val="clear" w:color="auto" w:fill="FFFFFF"/>
        <w:adjustRightInd/>
        <w:snapToGrid/>
        <w:spacing w:after="0" w:line="600" w:lineRule="exact"/>
        <w:ind w:firstLineChars="200" w:firstLine="600"/>
        <w:jc w:val="both"/>
        <w:rPr>
          <w:rFonts w:ascii="微软雅黑" w:hAnsi="微软雅黑" w:cs="Arial"/>
          <w:color w:val="333333"/>
          <w:sz w:val="21"/>
          <w:szCs w:val="21"/>
        </w:rPr>
      </w:pPr>
      <w:r w:rsidRPr="00CC48FC">
        <w:rPr>
          <w:rFonts w:ascii="仿宋" w:eastAsia="仿宋" w:hAnsi="仿宋" w:cs="Arial" w:hint="eastAsia"/>
          <w:color w:val="333333"/>
          <w:sz w:val="30"/>
          <w:szCs w:val="30"/>
          <w:shd w:val="clear" w:color="auto" w:fill="FFFFFF"/>
        </w:rPr>
        <w:t>确立由主要领导负责、分管领导具体抓、行政审批服务股牵头、其他部门配合的组织推进体系，将政务信息公开工作纳入年终绩效考核。</w:t>
      </w:r>
      <w:r w:rsidRPr="00CC48FC">
        <w:rPr>
          <w:rFonts w:ascii="仿宋" w:eastAsia="仿宋" w:hAnsi="仿宋" w:cs="Arial" w:hint="eastAsia"/>
          <w:color w:val="333333"/>
          <w:spacing w:val="8"/>
          <w:sz w:val="30"/>
          <w:szCs w:val="30"/>
          <w:shd w:val="clear" w:color="auto" w:fill="FFFFFF"/>
        </w:rPr>
        <w:t>完善政府信息公开保密审查制度，对拟公开信息依法依规严格做好保密审查。</w:t>
      </w:r>
    </w:p>
    <w:p w:rsidR="00CC48FC" w:rsidRPr="00CC48FC" w:rsidRDefault="00CC48FC" w:rsidP="00CC48FC">
      <w:pPr>
        <w:shd w:val="clear" w:color="auto" w:fill="FFFFFF"/>
        <w:adjustRightInd/>
        <w:snapToGrid/>
        <w:spacing w:after="0" w:line="600" w:lineRule="exact"/>
        <w:ind w:firstLineChars="200" w:firstLine="600"/>
        <w:jc w:val="both"/>
        <w:rPr>
          <w:rFonts w:ascii="微软雅黑" w:hAnsi="微软雅黑" w:cs="Arial"/>
          <w:color w:val="333333"/>
          <w:sz w:val="21"/>
          <w:szCs w:val="21"/>
        </w:rPr>
      </w:pPr>
      <w:r w:rsidRPr="00CC48FC">
        <w:rPr>
          <w:rFonts w:ascii="黑体" w:eastAsia="黑体" w:hAnsi="黑体" w:cs="Arial" w:hint="eastAsia"/>
          <w:color w:val="333333"/>
          <w:sz w:val="30"/>
          <w:szCs w:val="30"/>
          <w:shd w:val="clear" w:color="auto" w:fill="FFFFFF"/>
        </w:rPr>
        <w:t>（四）政府信息公开平台建设情况</w:t>
      </w:r>
    </w:p>
    <w:p w:rsidR="00CC48FC" w:rsidRPr="00CC48FC" w:rsidRDefault="00CC48FC" w:rsidP="00CC48FC">
      <w:pPr>
        <w:shd w:val="clear" w:color="auto" w:fill="FFFFFF"/>
        <w:adjustRightInd/>
        <w:snapToGrid/>
        <w:spacing w:after="0" w:line="600" w:lineRule="exact"/>
        <w:ind w:firstLineChars="200" w:firstLine="632"/>
        <w:jc w:val="both"/>
        <w:rPr>
          <w:rFonts w:ascii="微软雅黑" w:hAnsi="微软雅黑" w:cs="Arial"/>
          <w:color w:val="333333"/>
          <w:sz w:val="21"/>
          <w:szCs w:val="21"/>
        </w:rPr>
      </w:pPr>
      <w:r w:rsidRPr="00CC48FC">
        <w:rPr>
          <w:rFonts w:ascii="仿宋" w:eastAsia="仿宋" w:hAnsi="仿宋" w:cs="Arial" w:hint="eastAsia"/>
          <w:b/>
          <w:bCs/>
          <w:color w:val="333333"/>
          <w:spacing w:val="15"/>
          <w:sz w:val="30"/>
          <w:szCs w:val="30"/>
          <w:shd w:val="clear" w:color="auto" w:fill="FFFFFF"/>
        </w:rPr>
        <w:t>一是深化网上公开，加强警民互动。</w:t>
      </w:r>
      <w:r w:rsidRPr="00CC48FC">
        <w:rPr>
          <w:rFonts w:ascii="仿宋" w:eastAsia="仿宋" w:hAnsi="仿宋" w:cs="Arial" w:hint="eastAsia"/>
          <w:color w:val="333333"/>
          <w:spacing w:val="15"/>
          <w:sz w:val="30"/>
          <w:szCs w:val="30"/>
          <w:shd w:val="clear" w:color="auto" w:fill="FFFFFF"/>
        </w:rPr>
        <w:t>积极顺应人民群众的新期待、新要求，全力推动金寨公安公众服务网建设。</w:t>
      </w:r>
      <w:r w:rsidRPr="00CC48FC">
        <w:rPr>
          <w:rFonts w:ascii="仿宋" w:eastAsia="仿宋" w:hAnsi="仿宋" w:cs="Arial" w:hint="eastAsia"/>
          <w:b/>
          <w:bCs/>
          <w:color w:val="333333"/>
          <w:spacing w:val="15"/>
          <w:sz w:val="30"/>
          <w:szCs w:val="30"/>
          <w:shd w:val="clear" w:color="auto" w:fill="FFFFFF"/>
        </w:rPr>
        <w:t>二是发挥新媒体矩阵效应，深化网上宣传引导。</w:t>
      </w:r>
      <w:r w:rsidRPr="00CC48FC">
        <w:rPr>
          <w:rFonts w:ascii="仿宋" w:eastAsia="仿宋" w:hAnsi="仿宋" w:cs="Arial" w:hint="eastAsia"/>
          <w:color w:val="333333"/>
          <w:spacing w:val="15"/>
          <w:sz w:val="30"/>
          <w:szCs w:val="30"/>
          <w:shd w:val="clear" w:color="auto" w:fill="FFFFFF"/>
        </w:rPr>
        <w:t>持续建好用活公安新媒体，通过微信公众号、抖音平台等策划推出一批主</w:t>
      </w:r>
      <w:r w:rsidRPr="00CC48FC">
        <w:rPr>
          <w:rFonts w:ascii="仿宋" w:eastAsia="仿宋" w:hAnsi="仿宋" w:cs="Arial" w:hint="eastAsia"/>
          <w:color w:val="333333"/>
          <w:spacing w:val="15"/>
          <w:sz w:val="30"/>
          <w:szCs w:val="30"/>
          <w:shd w:val="clear" w:color="auto" w:fill="FFFFFF"/>
        </w:rPr>
        <w:lastRenderedPageBreak/>
        <w:t>题鲜明、形式新颖、感染力强的新媒体作品，不断唱响主旋律、凝聚精气神、激发正能量。</w:t>
      </w:r>
    </w:p>
    <w:p w:rsidR="00CC48FC" w:rsidRPr="00CC48FC" w:rsidRDefault="00CC48FC" w:rsidP="00CC48FC">
      <w:pPr>
        <w:shd w:val="clear" w:color="auto" w:fill="FFFFFF"/>
        <w:adjustRightInd/>
        <w:snapToGrid/>
        <w:spacing w:after="0" w:line="600" w:lineRule="exact"/>
        <w:ind w:firstLineChars="200" w:firstLine="600"/>
        <w:jc w:val="both"/>
        <w:rPr>
          <w:rFonts w:ascii="微软雅黑" w:hAnsi="微软雅黑" w:cs="Arial"/>
          <w:color w:val="333333"/>
          <w:sz w:val="21"/>
          <w:szCs w:val="21"/>
        </w:rPr>
      </w:pPr>
      <w:r w:rsidRPr="00CC48FC">
        <w:rPr>
          <w:rFonts w:ascii="黑体" w:eastAsia="黑体" w:hAnsi="黑体" w:cs="Arial" w:hint="eastAsia"/>
          <w:color w:val="333333"/>
          <w:sz w:val="30"/>
          <w:szCs w:val="30"/>
          <w:shd w:val="clear" w:color="auto" w:fill="FFFFFF"/>
        </w:rPr>
        <w:t>（五）监督保障</w:t>
      </w:r>
    </w:p>
    <w:p w:rsidR="00CC48FC" w:rsidRPr="00CC48FC" w:rsidRDefault="00CC48FC" w:rsidP="00CC48FC">
      <w:pPr>
        <w:shd w:val="clear" w:color="auto" w:fill="FFFFFF"/>
        <w:adjustRightInd/>
        <w:snapToGrid/>
        <w:spacing w:after="0" w:line="600" w:lineRule="exact"/>
        <w:ind w:firstLineChars="200" w:firstLine="630"/>
        <w:jc w:val="both"/>
        <w:rPr>
          <w:rFonts w:ascii="微软雅黑" w:hAnsi="微软雅黑" w:cs="Arial"/>
          <w:color w:val="333333"/>
          <w:sz w:val="21"/>
          <w:szCs w:val="21"/>
        </w:rPr>
      </w:pPr>
      <w:r w:rsidRPr="00CC48FC">
        <w:rPr>
          <w:rFonts w:ascii="仿宋" w:eastAsia="仿宋" w:hAnsi="仿宋" w:cs="Arial" w:hint="eastAsia"/>
          <w:color w:val="333333"/>
          <w:spacing w:val="15"/>
          <w:sz w:val="30"/>
          <w:szCs w:val="30"/>
          <w:shd w:val="clear" w:color="auto" w:fill="FFFFFF"/>
        </w:rPr>
        <w:t>强化日常监督，定期对发布的信息进行自查，年度开展隐私排查4次。强化问题整改，针对季度年度监测情况及时对发布内容更新整改，对错敏词第一时间更正，及时在网站发布整改报告。</w:t>
      </w:r>
    </w:p>
    <w:p w:rsidR="00CC48FC" w:rsidRPr="00CC48FC" w:rsidRDefault="00CC48FC" w:rsidP="00CC48FC">
      <w:pPr>
        <w:shd w:val="clear" w:color="auto" w:fill="FFFFFF"/>
        <w:adjustRightInd/>
        <w:snapToGrid/>
        <w:spacing w:line="600" w:lineRule="exact"/>
        <w:ind w:firstLineChars="200" w:firstLine="640"/>
        <w:jc w:val="both"/>
        <w:rPr>
          <w:rFonts w:ascii="微软雅黑" w:hAnsi="微软雅黑" w:cs="Arial"/>
          <w:color w:val="333333"/>
          <w:sz w:val="21"/>
          <w:szCs w:val="21"/>
        </w:rPr>
      </w:pPr>
      <w:r w:rsidRPr="00CC48FC">
        <w:rPr>
          <w:rFonts w:ascii="黑体" w:eastAsia="黑体" w:hAnsi="黑体" w:cs="Arial" w:hint="eastAsia"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435"/>
        <w:gridCol w:w="2435"/>
        <w:gridCol w:w="2435"/>
        <w:gridCol w:w="2435"/>
      </w:tblGrid>
      <w:tr w:rsidR="00CC48FC" w:rsidRPr="00CC48FC" w:rsidTr="00CC48FC">
        <w:trPr>
          <w:trHeight w:val="68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第二十条第（一）项</w:t>
            </w:r>
          </w:p>
        </w:tc>
      </w:tr>
      <w:tr w:rsidR="00CC48FC" w:rsidRPr="00CC48FC" w:rsidTr="00CC48FC">
        <w:trPr>
          <w:trHeight w:val="68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本年</w:t>
            </w:r>
            <w:r w:rsidRPr="00CC48FC">
              <w:rPr>
                <w:rFonts w:ascii="宋体" w:eastAsia="宋体" w:hAnsi="宋体" w:cs="宋体" w:hint="eastAsia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现行有效件</w:t>
            </w:r>
            <w:r w:rsidRPr="00CC48FC">
              <w:rPr>
                <w:rFonts w:ascii="宋体" w:eastAsia="宋体" w:hAnsi="宋体" w:cs="宋体" w:hint="eastAsia"/>
                <w:sz w:val="20"/>
                <w:szCs w:val="20"/>
              </w:rPr>
              <w:t>数</w:t>
            </w:r>
          </w:p>
        </w:tc>
      </w:tr>
      <w:tr w:rsidR="00CC48FC" w:rsidRPr="00CC48FC" w:rsidTr="00CC48FC">
        <w:trPr>
          <w:trHeight w:val="68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CC48FC" w:rsidRPr="00CC48FC" w:rsidTr="00CC48FC">
        <w:trPr>
          <w:trHeight w:val="68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CC48FC" w:rsidRPr="00CC48FC" w:rsidTr="00CC48FC">
        <w:trPr>
          <w:trHeight w:val="68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第二十条第（五）项</w:t>
            </w:r>
          </w:p>
        </w:tc>
      </w:tr>
      <w:tr w:rsidR="00CC48FC" w:rsidRPr="00CC48FC" w:rsidTr="00CC48FC">
        <w:trPr>
          <w:trHeight w:val="68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本年处理决定数量</w:t>
            </w:r>
          </w:p>
        </w:tc>
      </w:tr>
      <w:tr w:rsidR="00CC48FC" w:rsidRPr="00CC48FC" w:rsidTr="00CC48FC">
        <w:trPr>
          <w:trHeight w:val="68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宋体" w:eastAsia="宋体" w:hAnsi="宋体" w:cs="Calibri" w:hint="eastAsia"/>
                <w:sz w:val="20"/>
                <w:szCs w:val="20"/>
              </w:rPr>
              <w:t>293</w:t>
            </w:r>
          </w:p>
        </w:tc>
      </w:tr>
      <w:tr w:rsidR="00CC48FC" w:rsidRPr="00CC48FC" w:rsidTr="00CC48FC">
        <w:trPr>
          <w:trHeight w:val="68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第二十条第（六）项</w:t>
            </w:r>
          </w:p>
        </w:tc>
      </w:tr>
      <w:tr w:rsidR="00CC48FC" w:rsidRPr="00CC48FC" w:rsidTr="00CC48FC">
        <w:trPr>
          <w:trHeight w:val="68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本年处理决定数量</w:t>
            </w:r>
          </w:p>
        </w:tc>
      </w:tr>
      <w:tr w:rsidR="00CC48FC" w:rsidRPr="00CC48FC" w:rsidTr="00CC48FC">
        <w:trPr>
          <w:trHeight w:val="68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1239</w:t>
            </w:r>
          </w:p>
        </w:tc>
      </w:tr>
      <w:tr w:rsidR="00CC48FC" w:rsidRPr="00CC48FC" w:rsidTr="00CC48FC">
        <w:trPr>
          <w:trHeight w:val="68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490</w:t>
            </w:r>
          </w:p>
        </w:tc>
      </w:tr>
      <w:tr w:rsidR="00CC48FC" w:rsidRPr="00CC48FC" w:rsidTr="00CC48FC">
        <w:trPr>
          <w:trHeight w:val="68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第二十条第（八）项</w:t>
            </w:r>
          </w:p>
        </w:tc>
      </w:tr>
      <w:tr w:rsidR="00CC48FC" w:rsidRPr="00CC48FC" w:rsidTr="00CC48FC">
        <w:trPr>
          <w:trHeight w:val="68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本年收费金额（单位：万元）</w:t>
            </w:r>
          </w:p>
        </w:tc>
      </w:tr>
      <w:tr w:rsidR="00CC48FC" w:rsidRPr="00CC48FC" w:rsidTr="00CC48FC">
        <w:trPr>
          <w:trHeight w:val="68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widowControl w:val="0"/>
              <w:adjustRightInd/>
              <w:snapToGrid/>
              <w:spacing w:after="0" w:line="600" w:lineRule="exact"/>
              <w:ind w:firstLineChars="200"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0</w:t>
            </w:r>
          </w:p>
        </w:tc>
      </w:tr>
    </w:tbl>
    <w:p w:rsidR="00CC48FC" w:rsidRPr="00CC48FC" w:rsidRDefault="00CC48FC" w:rsidP="00CC48FC">
      <w:pPr>
        <w:shd w:val="clear" w:color="auto" w:fill="FFFFFF"/>
        <w:adjustRightInd/>
        <w:snapToGrid/>
        <w:spacing w:line="600" w:lineRule="exact"/>
        <w:ind w:firstLineChars="200" w:firstLine="640"/>
        <w:jc w:val="both"/>
        <w:rPr>
          <w:rFonts w:ascii="微软雅黑" w:hAnsi="微软雅黑" w:cs="Arial"/>
          <w:color w:val="333333"/>
          <w:sz w:val="21"/>
          <w:szCs w:val="21"/>
        </w:rPr>
      </w:pPr>
      <w:r w:rsidRPr="00CC48FC">
        <w:rPr>
          <w:rFonts w:ascii="黑体" w:eastAsia="黑体" w:hAnsi="黑体" w:cs="Arial" w:hint="eastAsia"/>
          <w:color w:val="333333"/>
          <w:sz w:val="32"/>
          <w:szCs w:val="32"/>
          <w:shd w:val="clear" w:color="auto" w:fill="FFFFFF"/>
        </w:rPr>
        <w:t>三、</w:t>
      </w:r>
      <w:r w:rsidRPr="00CC48FC">
        <w:rPr>
          <w:rFonts w:ascii="黑体" w:eastAsia="黑体" w:hAnsi="黑体" w:cs="Tahoma" w:hint="eastAsia"/>
          <w:color w:val="333333"/>
          <w:sz w:val="32"/>
          <w:szCs w:val="32"/>
        </w:rPr>
        <w:t>收到和处理政府信息公开申请情况</w:t>
      </w:r>
    </w:p>
    <w:tbl>
      <w:tblPr>
        <w:tblW w:w="0" w:type="auto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67"/>
        <w:gridCol w:w="943"/>
        <w:gridCol w:w="3219"/>
        <w:gridCol w:w="688"/>
        <w:gridCol w:w="688"/>
        <w:gridCol w:w="688"/>
        <w:gridCol w:w="688"/>
        <w:gridCol w:w="688"/>
        <w:gridCol w:w="688"/>
        <w:gridCol w:w="688"/>
      </w:tblGrid>
      <w:tr w:rsidR="00CC48FC" w:rsidRPr="00CC48FC" w:rsidTr="00CC48FC">
        <w:trPr>
          <w:jc w:val="center"/>
        </w:trPr>
        <w:tc>
          <w:tcPr>
            <w:tcW w:w="492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楷体" w:eastAsia="楷体" w:hAnsi="楷体" w:cs="宋体" w:hint="eastAsia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宋体" w:eastAsia="宋体" w:hAnsi="宋体" w:cs="宋体" w:hint="eastAsia"/>
                <w:sz w:val="20"/>
                <w:szCs w:val="20"/>
              </w:rPr>
              <w:t>申请人情况</w:t>
            </w:r>
          </w:p>
        </w:tc>
      </w:tr>
      <w:tr w:rsidR="00CC48FC" w:rsidRPr="00CC48FC" w:rsidTr="00CC48FC">
        <w:trPr>
          <w:jc w:val="center"/>
        </w:trPr>
        <w:tc>
          <w:tcPr>
            <w:tcW w:w="123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宋体" w:eastAsia="宋体" w:hAnsi="宋体" w:cs="宋体" w:hint="eastAsia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宋体" w:eastAsia="宋体" w:hAnsi="宋体" w:cs="宋体" w:hint="eastAsia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宋体" w:eastAsia="宋体" w:hAnsi="宋体" w:cs="宋体" w:hint="eastAsia"/>
                <w:sz w:val="20"/>
                <w:szCs w:val="20"/>
              </w:rPr>
              <w:t>总计</w:t>
            </w:r>
          </w:p>
        </w:tc>
      </w:tr>
      <w:tr w:rsidR="00CC48FC" w:rsidRPr="00CC48FC" w:rsidTr="00CC48FC">
        <w:trPr>
          <w:jc w:val="center"/>
        </w:trPr>
        <w:tc>
          <w:tcPr>
            <w:tcW w:w="123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8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宋体" w:eastAsia="宋体" w:hAnsi="宋体" w:cs="宋体" w:hint="eastAsia"/>
                <w:sz w:val="20"/>
                <w:szCs w:val="20"/>
              </w:rPr>
              <w:t>商业</w:t>
            </w:r>
          </w:p>
          <w:p w:rsidR="00CC48FC" w:rsidRPr="00CC48FC" w:rsidRDefault="00CC48FC" w:rsidP="00CC48FC">
            <w:pPr>
              <w:adjustRightInd/>
              <w:snapToGrid/>
              <w:spacing w:after="0" w:line="6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宋体" w:eastAsia="宋体" w:hAnsi="宋体" w:cs="宋体" w:hint="eastAsia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宋体" w:eastAsia="宋体" w:hAnsi="宋体" w:cs="宋体" w:hint="eastAsia"/>
                <w:sz w:val="20"/>
                <w:szCs w:val="20"/>
              </w:rPr>
              <w:t>科研</w:t>
            </w:r>
          </w:p>
          <w:p w:rsidR="00CC48FC" w:rsidRPr="00CC48FC" w:rsidRDefault="00CC48FC" w:rsidP="00CC48FC">
            <w:pPr>
              <w:adjustRightInd/>
              <w:snapToGrid/>
              <w:spacing w:after="0" w:line="6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宋体" w:eastAsia="宋体" w:hAnsi="宋体" w:cs="宋体" w:hint="eastAsia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宋体" w:eastAsia="宋体" w:hAnsi="宋体" w:cs="宋体" w:hint="eastAsia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宋体" w:eastAsia="宋体" w:hAnsi="宋体" w:cs="宋体" w:hint="eastAsia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宋体" w:eastAsia="宋体" w:hAnsi="宋体" w:cs="宋体" w:hint="eastAsia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C48FC" w:rsidRPr="00CC48FC" w:rsidTr="00CC48FC"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宋体" w:eastAsia="宋体" w:hAnsi="宋体" w:cs="宋体" w:hint="eastAsia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  <w:r w:rsidRPr="00CC48FC">
              <w:rPr>
                <w:rFonts w:ascii="Calibri" w:eastAsia="仿宋_GB2312" w:hAnsi="Calibri" w:cs="宋体"/>
                <w:sz w:val="20"/>
                <w:szCs w:val="20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1</w:t>
            </w:r>
          </w:p>
        </w:tc>
      </w:tr>
      <w:tr w:rsidR="00CC48FC" w:rsidRPr="00CC48FC" w:rsidTr="00CC48FC"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宋体" w:eastAsia="宋体" w:hAnsi="宋体" w:cs="宋体" w:hint="eastAsia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  <w:r w:rsidRPr="00CC48FC">
              <w:rPr>
                <w:rFonts w:ascii="Calibri" w:eastAsia="仿宋_GB2312" w:hAnsi="Calibri" w:cs="宋体"/>
                <w:sz w:val="20"/>
                <w:szCs w:val="20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  <w:r w:rsidRPr="00CC48FC">
              <w:rPr>
                <w:rFonts w:ascii="Calibri" w:eastAsia="仿宋_GB2312" w:hAnsi="Calibri" w:cs="宋体"/>
                <w:sz w:val="20"/>
                <w:szCs w:val="20"/>
              </w:rPr>
              <w:t xml:space="preserve"> </w:t>
            </w:r>
          </w:p>
        </w:tc>
      </w:tr>
      <w:tr w:rsidR="00CC48FC" w:rsidRPr="00CC48FC" w:rsidTr="00CC48FC"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宋体" w:eastAsia="宋体" w:hAnsi="宋体" w:cs="宋体" w:hint="eastAsia"/>
                <w:sz w:val="20"/>
                <w:szCs w:val="20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宋体" w:eastAsia="宋体" w:hAnsi="宋体" w:cs="宋体" w:hint="eastAsia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  <w:r w:rsidRPr="00CC48FC">
              <w:rPr>
                <w:rFonts w:ascii="Calibri" w:eastAsia="仿宋_GB2312" w:hAnsi="Calibri" w:cs="宋体"/>
                <w:sz w:val="20"/>
                <w:szCs w:val="20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  <w:r w:rsidRPr="00CC48FC">
              <w:rPr>
                <w:rFonts w:ascii="Calibri" w:eastAsia="仿宋_GB2312" w:hAnsi="Calibri" w:cs="宋体"/>
                <w:sz w:val="20"/>
                <w:szCs w:val="20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</w:tr>
      <w:tr w:rsidR="00CC48FC" w:rsidRPr="00CC48FC" w:rsidTr="00CC48FC">
        <w:trPr>
          <w:jc w:val="center"/>
        </w:trPr>
        <w:tc>
          <w:tcPr>
            <w:tcW w:w="4929" w:type="dxa"/>
            <w:vMerge/>
            <w:tcBorders>
              <w:top w:val="nil"/>
              <w:left w:val="single" w:sz="4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宋体" w:eastAsia="宋体" w:hAnsi="宋体" w:cs="宋体" w:hint="eastAsia"/>
                <w:sz w:val="20"/>
                <w:szCs w:val="20"/>
              </w:rPr>
              <w:t>（二）部分公开</w:t>
            </w:r>
            <w:r w:rsidRPr="00CC48FC">
              <w:rPr>
                <w:rFonts w:ascii="楷体" w:eastAsia="楷体" w:hAnsi="楷体" w:cs="宋体" w:hint="eastAsia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  <w:r w:rsidRPr="00CC48FC">
              <w:rPr>
                <w:rFonts w:ascii="Calibri" w:eastAsia="仿宋_GB2312" w:hAnsi="Calibri" w:cs="宋体"/>
                <w:sz w:val="20"/>
                <w:szCs w:val="20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</w:tr>
      <w:tr w:rsidR="00CC48FC" w:rsidRPr="00CC48FC" w:rsidTr="00CC48FC">
        <w:trPr>
          <w:jc w:val="center"/>
        </w:trPr>
        <w:tc>
          <w:tcPr>
            <w:tcW w:w="4929" w:type="dxa"/>
            <w:vMerge/>
            <w:tcBorders>
              <w:top w:val="nil"/>
              <w:left w:val="single" w:sz="4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宋体" w:eastAsia="宋体" w:hAnsi="宋体" w:cs="宋体" w:hint="eastAsia"/>
                <w:sz w:val="20"/>
                <w:szCs w:val="20"/>
              </w:rPr>
              <w:t>（三）不予公开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宋体" w:eastAsia="宋体" w:hAnsi="宋体" w:cs="宋体" w:hint="eastAsia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  <w:r w:rsidRPr="00CC48FC">
              <w:rPr>
                <w:rFonts w:ascii="Calibri" w:eastAsia="仿宋_GB2312" w:hAnsi="Calibri" w:cs="宋体"/>
                <w:sz w:val="20"/>
                <w:szCs w:val="20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</w:tr>
      <w:tr w:rsidR="00CC48FC" w:rsidRPr="00CC48FC" w:rsidTr="00CC48FC">
        <w:trPr>
          <w:jc w:val="center"/>
        </w:trPr>
        <w:tc>
          <w:tcPr>
            <w:tcW w:w="4929" w:type="dxa"/>
            <w:vMerge/>
            <w:tcBorders>
              <w:top w:val="nil"/>
              <w:left w:val="single" w:sz="4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162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宋体" w:eastAsia="宋体" w:hAnsi="宋体" w:cs="宋体" w:hint="eastAsia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  <w:r w:rsidRPr="00CC48FC">
              <w:rPr>
                <w:rFonts w:ascii="Calibri" w:eastAsia="仿宋_GB2312" w:hAnsi="Calibri" w:cs="宋体"/>
                <w:sz w:val="20"/>
                <w:szCs w:val="20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</w:tr>
      <w:tr w:rsidR="00CC48FC" w:rsidRPr="00CC48FC" w:rsidTr="00CC48FC">
        <w:trPr>
          <w:jc w:val="center"/>
        </w:trPr>
        <w:tc>
          <w:tcPr>
            <w:tcW w:w="4929" w:type="dxa"/>
            <w:vMerge/>
            <w:tcBorders>
              <w:top w:val="nil"/>
              <w:left w:val="single" w:sz="4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162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宋体" w:eastAsia="宋体" w:hAnsi="宋体" w:cs="宋体" w:hint="eastAsia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  <w:r w:rsidRPr="00CC48FC">
              <w:rPr>
                <w:rFonts w:ascii="Calibri" w:eastAsia="仿宋_GB2312" w:hAnsi="Calibri" w:cs="宋体"/>
                <w:sz w:val="20"/>
                <w:szCs w:val="20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</w:tr>
      <w:tr w:rsidR="00CC48FC" w:rsidRPr="00CC48FC" w:rsidTr="00CC48FC">
        <w:trPr>
          <w:jc w:val="center"/>
        </w:trPr>
        <w:tc>
          <w:tcPr>
            <w:tcW w:w="4929" w:type="dxa"/>
            <w:vMerge/>
            <w:tcBorders>
              <w:top w:val="nil"/>
              <w:left w:val="single" w:sz="4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162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宋体" w:eastAsia="宋体" w:hAnsi="宋体" w:cs="宋体" w:hint="eastAsia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  <w:r w:rsidRPr="00CC48FC">
              <w:rPr>
                <w:rFonts w:ascii="Calibri" w:eastAsia="仿宋_GB2312" w:hAnsi="Calibri" w:cs="宋体"/>
                <w:sz w:val="20"/>
                <w:szCs w:val="20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</w:tr>
      <w:tr w:rsidR="00CC48FC" w:rsidRPr="00CC48FC" w:rsidTr="00CC48FC">
        <w:trPr>
          <w:jc w:val="center"/>
        </w:trPr>
        <w:tc>
          <w:tcPr>
            <w:tcW w:w="4929" w:type="dxa"/>
            <w:vMerge/>
            <w:tcBorders>
              <w:top w:val="nil"/>
              <w:left w:val="single" w:sz="4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162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宋体" w:eastAsia="宋体" w:hAnsi="宋体" w:cs="宋体" w:hint="eastAsia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  <w:r w:rsidRPr="00CC48FC">
              <w:rPr>
                <w:rFonts w:ascii="Calibri" w:eastAsia="仿宋_GB2312" w:hAnsi="Calibri" w:cs="宋体"/>
                <w:sz w:val="20"/>
                <w:szCs w:val="20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</w:tr>
      <w:tr w:rsidR="00CC48FC" w:rsidRPr="00CC48FC" w:rsidTr="00CC48FC">
        <w:trPr>
          <w:jc w:val="center"/>
        </w:trPr>
        <w:tc>
          <w:tcPr>
            <w:tcW w:w="4929" w:type="dxa"/>
            <w:vMerge/>
            <w:tcBorders>
              <w:top w:val="nil"/>
              <w:left w:val="single" w:sz="4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162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宋体" w:eastAsia="宋体" w:hAnsi="宋体" w:cs="宋体" w:hint="eastAsia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  <w:r w:rsidRPr="00CC48FC">
              <w:rPr>
                <w:rFonts w:ascii="Calibri" w:eastAsia="仿宋_GB2312" w:hAnsi="Calibri" w:cs="宋体"/>
                <w:sz w:val="20"/>
                <w:szCs w:val="20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</w:tr>
      <w:tr w:rsidR="00CC48FC" w:rsidRPr="00CC48FC" w:rsidTr="00CC48FC">
        <w:trPr>
          <w:jc w:val="center"/>
        </w:trPr>
        <w:tc>
          <w:tcPr>
            <w:tcW w:w="4929" w:type="dxa"/>
            <w:vMerge/>
            <w:tcBorders>
              <w:top w:val="nil"/>
              <w:left w:val="single" w:sz="4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162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宋体" w:eastAsia="宋体" w:hAnsi="宋体" w:cs="宋体" w:hint="eastAsia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  <w:r w:rsidRPr="00CC48FC">
              <w:rPr>
                <w:rFonts w:ascii="Calibri" w:eastAsia="仿宋_GB2312" w:hAnsi="Calibri" w:cs="宋体"/>
                <w:sz w:val="20"/>
                <w:szCs w:val="20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</w:tr>
      <w:tr w:rsidR="00CC48FC" w:rsidRPr="00CC48FC" w:rsidTr="00CC48FC">
        <w:trPr>
          <w:jc w:val="center"/>
        </w:trPr>
        <w:tc>
          <w:tcPr>
            <w:tcW w:w="4929" w:type="dxa"/>
            <w:vMerge/>
            <w:tcBorders>
              <w:top w:val="nil"/>
              <w:left w:val="single" w:sz="4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162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宋体" w:eastAsia="宋体" w:hAnsi="宋体" w:cs="宋体" w:hint="eastAsia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  <w:r w:rsidRPr="00CC48FC">
              <w:rPr>
                <w:rFonts w:ascii="Calibri" w:eastAsia="仿宋_GB2312" w:hAnsi="Calibri" w:cs="宋体"/>
                <w:sz w:val="20"/>
                <w:szCs w:val="20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</w:tr>
      <w:tr w:rsidR="00CC48FC" w:rsidRPr="00CC48FC" w:rsidTr="00CC48FC">
        <w:trPr>
          <w:jc w:val="center"/>
        </w:trPr>
        <w:tc>
          <w:tcPr>
            <w:tcW w:w="4929" w:type="dxa"/>
            <w:vMerge/>
            <w:tcBorders>
              <w:top w:val="nil"/>
              <w:left w:val="single" w:sz="4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宋体" w:eastAsia="宋体" w:hAnsi="宋体" w:cs="宋体" w:hint="eastAsia"/>
                <w:sz w:val="20"/>
                <w:szCs w:val="20"/>
              </w:rPr>
              <w:t>（四</w:t>
            </w:r>
            <w:r w:rsidRPr="00CC48FC"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>）无法提供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  <w:r w:rsidRPr="00CC48FC">
              <w:rPr>
                <w:rFonts w:ascii="Calibri" w:eastAsia="仿宋_GB2312" w:hAnsi="Calibri" w:cs="宋体"/>
                <w:sz w:val="20"/>
                <w:szCs w:val="20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1</w:t>
            </w:r>
          </w:p>
        </w:tc>
      </w:tr>
      <w:tr w:rsidR="00CC48FC" w:rsidRPr="00CC48FC" w:rsidTr="00CC48FC">
        <w:trPr>
          <w:jc w:val="center"/>
        </w:trPr>
        <w:tc>
          <w:tcPr>
            <w:tcW w:w="4929" w:type="dxa"/>
            <w:vMerge/>
            <w:tcBorders>
              <w:top w:val="nil"/>
              <w:left w:val="single" w:sz="4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162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宋体" w:eastAsia="宋体" w:hAnsi="宋体" w:cs="宋体" w:hint="eastAsia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  <w:r w:rsidRPr="00CC48FC">
              <w:rPr>
                <w:rFonts w:ascii="Calibri" w:eastAsia="仿宋_GB2312" w:hAnsi="Calibri" w:cs="宋体"/>
                <w:sz w:val="20"/>
                <w:szCs w:val="20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</w:tr>
      <w:tr w:rsidR="00CC48FC" w:rsidRPr="00CC48FC" w:rsidTr="00CC48FC">
        <w:trPr>
          <w:jc w:val="center"/>
        </w:trPr>
        <w:tc>
          <w:tcPr>
            <w:tcW w:w="4929" w:type="dxa"/>
            <w:vMerge/>
            <w:tcBorders>
              <w:top w:val="nil"/>
              <w:left w:val="single" w:sz="4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162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宋体" w:eastAsia="宋体" w:hAnsi="宋体" w:cs="宋体" w:hint="eastAsia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  <w:r w:rsidRPr="00CC48FC">
              <w:rPr>
                <w:rFonts w:ascii="Calibri" w:eastAsia="仿宋_GB2312" w:hAnsi="Calibri" w:cs="宋体"/>
                <w:sz w:val="20"/>
                <w:szCs w:val="20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</w:tr>
      <w:tr w:rsidR="00CC48FC" w:rsidRPr="00CC48FC" w:rsidTr="00CC48FC">
        <w:trPr>
          <w:jc w:val="center"/>
        </w:trPr>
        <w:tc>
          <w:tcPr>
            <w:tcW w:w="4929" w:type="dxa"/>
            <w:vMerge/>
            <w:tcBorders>
              <w:top w:val="nil"/>
              <w:left w:val="single" w:sz="4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宋体" w:eastAsia="宋体" w:hAnsi="宋体" w:cs="宋体" w:hint="eastAsia"/>
                <w:sz w:val="20"/>
                <w:szCs w:val="20"/>
              </w:rPr>
              <w:t>（五）不予处理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宋体" w:eastAsia="宋体" w:hAnsi="宋体" w:cs="宋体" w:hint="eastAsia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  <w:r w:rsidRPr="00CC48FC">
              <w:rPr>
                <w:rFonts w:ascii="Calibri" w:eastAsia="仿宋_GB2312" w:hAnsi="Calibri" w:cs="宋体"/>
                <w:sz w:val="20"/>
                <w:szCs w:val="20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</w:tr>
      <w:tr w:rsidR="00CC48FC" w:rsidRPr="00CC48FC" w:rsidTr="00CC48FC">
        <w:trPr>
          <w:jc w:val="center"/>
        </w:trPr>
        <w:tc>
          <w:tcPr>
            <w:tcW w:w="4929" w:type="dxa"/>
            <w:vMerge/>
            <w:tcBorders>
              <w:top w:val="nil"/>
              <w:left w:val="single" w:sz="4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162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宋体" w:eastAsia="宋体" w:hAnsi="宋体" w:cs="宋体" w:hint="eastAsia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  <w:r w:rsidRPr="00CC48FC">
              <w:rPr>
                <w:rFonts w:ascii="Calibri" w:eastAsia="仿宋_GB2312" w:hAnsi="Calibri" w:cs="宋体"/>
                <w:sz w:val="20"/>
                <w:szCs w:val="20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</w:tr>
      <w:tr w:rsidR="00CC48FC" w:rsidRPr="00CC48FC" w:rsidTr="00CC48FC">
        <w:trPr>
          <w:jc w:val="center"/>
        </w:trPr>
        <w:tc>
          <w:tcPr>
            <w:tcW w:w="4929" w:type="dxa"/>
            <w:vMerge/>
            <w:tcBorders>
              <w:top w:val="nil"/>
              <w:left w:val="single" w:sz="4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162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宋体" w:eastAsia="宋体" w:hAnsi="宋体" w:cs="宋体" w:hint="eastAsia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  <w:r w:rsidRPr="00CC48FC">
              <w:rPr>
                <w:rFonts w:ascii="Calibri" w:eastAsia="仿宋_GB2312" w:hAnsi="Calibri" w:cs="宋体"/>
                <w:sz w:val="20"/>
                <w:szCs w:val="20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</w:tr>
      <w:tr w:rsidR="00CC48FC" w:rsidRPr="00CC48FC" w:rsidTr="00CC48FC">
        <w:trPr>
          <w:jc w:val="center"/>
        </w:trPr>
        <w:tc>
          <w:tcPr>
            <w:tcW w:w="4929" w:type="dxa"/>
            <w:vMerge/>
            <w:tcBorders>
              <w:top w:val="nil"/>
              <w:left w:val="single" w:sz="4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162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宋体" w:eastAsia="宋体" w:hAnsi="宋体" w:cs="宋体" w:hint="eastAsia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  <w:r w:rsidRPr="00CC48FC">
              <w:rPr>
                <w:rFonts w:ascii="Calibri" w:eastAsia="仿宋_GB2312" w:hAnsi="Calibri" w:cs="宋体"/>
                <w:sz w:val="20"/>
                <w:szCs w:val="20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</w:tr>
      <w:tr w:rsidR="00CC48FC" w:rsidRPr="00CC48FC" w:rsidTr="00CC48FC">
        <w:trPr>
          <w:trHeight w:val="779"/>
          <w:jc w:val="center"/>
        </w:trPr>
        <w:tc>
          <w:tcPr>
            <w:tcW w:w="4929" w:type="dxa"/>
            <w:vMerge/>
            <w:tcBorders>
              <w:top w:val="nil"/>
              <w:left w:val="single" w:sz="4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162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宋体" w:eastAsia="宋体" w:hAnsi="宋体" w:cs="宋体" w:hint="eastAsia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  <w:r w:rsidRPr="00CC48FC">
              <w:rPr>
                <w:rFonts w:ascii="Calibri" w:eastAsia="仿宋_GB2312" w:hAnsi="Calibri" w:cs="宋体"/>
                <w:sz w:val="20"/>
                <w:szCs w:val="20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</w:tr>
      <w:tr w:rsidR="00CC48FC" w:rsidRPr="00CC48FC" w:rsidTr="00CC48FC">
        <w:trPr>
          <w:jc w:val="center"/>
        </w:trPr>
        <w:tc>
          <w:tcPr>
            <w:tcW w:w="4929" w:type="dxa"/>
            <w:vMerge/>
            <w:tcBorders>
              <w:top w:val="nil"/>
              <w:left w:val="single" w:sz="4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宋体" w:eastAsia="宋体" w:hAnsi="宋体" w:cs="宋体" w:hint="eastAsia"/>
                <w:sz w:val="20"/>
                <w:szCs w:val="20"/>
              </w:rPr>
              <w:t>（六）其他处理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宋体" w:eastAsia="宋体" w:hAnsi="宋体" w:cs="宋体" w:hint="eastAsia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  <w:r w:rsidRPr="00CC48FC">
              <w:rPr>
                <w:rFonts w:ascii="Calibri" w:eastAsia="仿宋_GB2312" w:hAnsi="Calibri" w:cs="宋体"/>
                <w:sz w:val="20"/>
                <w:szCs w:val="20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</w:tr>
      <w:tr w:rsidR="00CC48FC" w:rsidRPr="00CC48FC" w:rsidTr="00CC48FC">
        <w:trPr>
          <w:jc w:val="center"/>
        </w:trPr>
        <w:tc>
          <w:tcPr>
            <w:tcW w:w="4929" w:type="dxa"/>
            <w:vMerge/>
            <w:tcBorders>
              <w:top w:val="nil"/>
              <w:left w:val="single" w:sz="4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162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宋体" w:eastAsia="宋体" w:hAnsi="宋体" w:cs="宋体" w:hint="eastAsia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  <w:r w:rsidRPr="00CC48FC">
              <w:rPr>
                <w:rFonts w:ascii="Calibri" w:eastAsia="仿宋_GB2312" w:hAnsi="Calibri" w:cs="宋体"/>
                <w:sz w:val="20"/>
                <w:szCs w:val="20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</w:tr>
      <w:tr w:rsidR="00CC48FC" w:rsidRPr="00CC48FC" w:rsidTr="00CC48FC">
        <w:trPr>
          <w:jc w:val="center"/>
        </w:trPr>
        <w:tc>
          <w:tcPr>
            <w:tcW w:w="4929" w:type="dxa"/>
            <w:vMerge/>
            <w:tcBorders>
              <w:top w:val="nil"/>
              <w:left w:val="single" w:sz="4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162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宋体" w:eastAsia="宋体" w:hAnsi="宋体" w:cs="宋体" w:hint="eastAsia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  <w:r w:rsidRPr="00CC48FC">
              <w:rPr>
                <w:rFonts w:ascii="Calibri" w:eastAsia="仿宋_GB2312" w:hAnsi="Calibri" w:cs="宋体"/>
                <w:sz w:val="20"/>
                <w:szCs w:val="20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</w:tr>
      <w:tr w:rsidR="00CC48FC" w:rsidRPr="00CC48FC" w:rsidTr="00CC48FC">
        <w:trPr>
          <w:jc w:val="center"/>
        </w:trPr>
        <w:tc>
          <w:tcPr>
            <w:tcW w:w="4929" w:type="dxa"/>
            <w:vMerge/>
            <w:tcBorders>
              <w:top w:val="nil"/>
              <w:left w:val="single" w:sz="4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宋体" w:eastAsia="宋体" w:hAnsi="宋体" w:cs="宋体" w:hint="eastAsia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1</w:t>
            </w:r>
            <w:r w:rsidRPr="00CC48FC">
              <w:rPr>
                <w:rFonts w:ascii="Calibri" w:eastAsia="仿宋_GB2312" w:hAnsi="Calibri" w:cs="宋体"/>
                <w:sz w:val="20"/>
                <w:szCs w:val="20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1</w:t>
            </w:r>
            <w:r w:rsidRPr="00CC48FC">
              <w:rPr>
                <w:rFonts w:ascii="Calibri" w:eastAsia="仿宋_GB2312" w:hAnsi="Calibri" w:cs="宋体"/>
                <w:sz w:val="20"/>
                <w:szCs w:val="20"/>
              </w:rPr>
              <w:t xml:space="preserve"> </w:t>
            </w:r>
          </w:p>
        </w:tc>
      </w:tr>
      <w:tr w:rsidR="00CC48FC" w:rsidRPr="00CC48FC" w:rsidTr="00CC48FC"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宋体" w:eastAsia="宋体" w:hAnsi="宋体" w:cs="宋体" w:hint="eastAsia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  <w:r w:rsidRPr="00CC48FC">
              <w:rPr>
                <w:rFonts w:ascii="Calibri" w:eastAsia="仿宋_GB2312" w:hAnsi="Calibri" w:cs="宋体"/>
                <w:sz w:val="20"/>
                <w:szCs w:val="20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Calibri" w:eastAsia="仿宋_GB2312" w:hAnsi="Calibri" w:cs="Calibri" w:hint="eastAsia"/>
                <w:sz w:val="20"/>
                <w:szCs w:val="20"/>
              </w:rPr>
              <w:t>0</w:t>
            </w:r>
          </w:p>
        </w:tc>
      </w:tr>
    </w:tbl>
    <w:p w:rsidR="00CC48FC" w:rsidRPr="00CC48FC" w:rsidRDefault="00CC48FC" w:rsidP="00CC48FC">
      <w:pPr>
        <w:shd w:val="clear" w:color="auto" w:fill="FFFFFF"/>
        <w:adjustRightInd/>
        <w:snapToGrid/>
        <w:spacing w:line="600" w:lineRule="exact"/>
        <w:ind w:firstLineChars="200" w:firstLine="640"/>
        <w:jc w:val="both"/>
        <w:rPr>
          <w:rFonts w:ascii="微软雅黑" w:hAnsi="微软雅黑" w:cs="Arial"/>
          <w:color w:val="333333"/>
          <w:sz w:val="21"/>
          <w:szCs w:val="21"/>
        </w:rPr>
      </w:pPr>
      <w:r w:rsidRPr="00CC48FC">
        <w:rPr>
          <w:rFonts w:ascii="黑体" w:eastAsia="黑体" w:hAnsi="黑体" w:cs="Arial" w:hint="eastAsia"/>
          <w:bCs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W w:w="0" w:type="auto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CC48FC" w:rsidRPr="00CC48FC" w:rsidTr="00CC48FC">
        <w:trPr>
          <w:jc w:val="center"/>
        </w:trPr>
        <w:tc>
          <w:tcPr>
            <w:tcW w:w="3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宋体" w:eastAsia="宋体" w:hAnsi="宋体" w:cs="宋体" w:hint="eastAsia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宋体" w:eastAsia="宋体" w:hAnsi="宋体" w:cs="宋体" w:hint="eastAsia"/>
                <w:sz w:val="20"/>
                <w:szCs w:val="20"/>
              </w:rPr>
              <w:t>行政诉讼</w:t>
            </w:r>
          </w:p>
        </w:tc>
      </w:tr>
      <w:tr w:rsidR="00CC48FC" w:rsidRPr="00CC48FC" w:rsidTr="00CC48FC"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宋体" w:eastAsia="宋体" w:hAnsi="宋体" w:cs="宋体" w:hint="eastAsia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宋体" w:eastAsia="宋体" w:hAnsi="宋体" w:cs="宋体" w:hint="eastAsia"/>
                <w:sz w:val="20"/>
                <w:szCs w:val="20"/>
              </w:rPr>
              <w:t>结果</w:t>
            </w:r>
          </w:p>
          <w:p w:rsidR="00CC48FC" w:rsidRPr="00CC48FC" w:rsidRDefault="00CC48FC" w:rsidP="00CC48FC">
            <w:pPr>
              <w:adjustRightInd/>
              <w:snapToGrid/>
              <w:spacing w:after="0" w:line="6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宋体" w:eastAsia="宋体" w:hAnsi="宋体" w:cs="宋体" w:hint="eastAsia"/>
                <w:sz w:val="20"/>
                <w:szCs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宋体" w:eastAsia="宋体" w:hAnsi="宋体" w:cs="宋体" w:hint="eastAsia"/>
                <w:sz w:val="20"/>
                <w:szCs w:val="20"/>
              </w:rPr>
              <w:t>其他</w:t>
            </w:r>
          </w:p>
          <w:p w:rsidR="00CC48FC" w:rsidRPr="00CC48FC" w:rsidRDefault="00CC48FC" w:rsidP="00CC48FC">
            <w:pPr>
              <w:adjustRightInd/>
              <w:snapToGrid/>
              <w:spacing w:after="0" w:line="6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宋体" w:eastAsia="宋体" w:hAnsi="宋体" w:cs="宋体" w:hint="eastAsia"/>
                <w:sz w:val="20"/>
                <w:szCs w:val="2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宋体" w:eastAsia="宋体" w:hAnsi="宋体" w:cs="宋体" w:hint="eastAsia"/>
                <w:sz w:val="20"/>
                <w:szCs w:val="20"/>
              </w:rPr>
              <w:t>尚未</w:t>
            </w:r>
          </w:p>
          <w:p w:rsidR="00CC48FC" w:rsidRPr="00CC48FC" w:rsidRDefault="00CC48FC" w:rsidP="00CC48FC">
            <w:pPr>
              <w:adjustRightInd/>
              <w:snapToGrid/>
              <w:spacing w:after="0" w:line="6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宋体" w:eastAsia="宋体" w:hAnsi="宋体" w:cs="宋体" w:hint="eastAsia"/>
                <w:sz w:val="20"/>
                <w:szCs w:val="2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宋体" w:eastAsia="宋体" w:hAnsi="宋体" w:cs="宋体" w:hint="eastAsia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宋体" w:eastAsia="宋体" w:hAnsi="宋体" w:cs="宋体" w:hint="eastAsia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宋体" w:eastAsia="宋体" w:hAnsi="宋体" w:cs="宋体" w:hint="eastAsia"/>
                <w:sz w:val="20"/>
                <w:szCs w:val="20"/>
              </w:rPr>
              <w:t>复议后起诉</w:t>
            </w:r>
          </w:p>
        </w:tc>
      </w:tr>
      <w:tr w:rsidR="00CC48FC" w:rsidRPr="00CC48FC" w:rsidTr="00CC48FC">
        <w:trPr>
          <w:jc w:val="center"/>
        </w:trPr>
        <w:tc>
          <w:tcPr>
            <w:tcW w:w="32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宋体" w:eastAsia="宋体" w:hAnsi="宋体" w:cs="宋体" w:hint="eastAsia"/>
                <w:sz w:val="20"/>
                <w:szCs w:val="20"/>
              </w:rPr>
              <w:t>结果</w:t>
            </w:r>
          </w:p>
          <w:p w:rsidR="00CC48FC" w:rsidRPr="00CC48FC" w:rsidRDefault="00CC48FC" w:rsidP="00CC48FC">
            <w:pPr>
              <w:adjustRightInd/>
              <w:snapToGrid/>
              <w:spacing w:after="0" w:line="6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宋体" w:eastAsia="宋体" w:hAnsi="宋体" w:cs="宋体" w:hint="eastAsia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宋体" w:eastAsia="宋体" w:hAnsi="宋体" w:cs="宋体" w:hint="eastAsia"/>
                <w:sz w:val="20"/>
                <w:szCs w:val="20"/>
              </w:rPr>
              <w:t>结果</w:t>
            </w:r>
          </w:p>
          <w:p w:rsidR="00CC48FC" w:rsidRPr="00CC48FC" w:rsidRDefault="00CC48FC" w:rsidP="00CC48FC">
            <w:pPr>
              <w:adjustRightInd/>
              <w:snapToGrid/>
              <w:spacing w:after="0" w:line="6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宋体" w:eastAsia="宋体" w:hAnsi="宋体" w:cs="宋体" w:hint="eastAsia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宋体" w:eastAsia="宋体" w:hAnsi="宋体" w:cs="宋体" w:hint="eastAsia"/>
                <w:sz w:val="20"/>
                <w:szCs w:val="20"/>
              </w:rPr>
              <w:t>其他</w:t>
            </w:r>
          </w:p>
          <w:p w:rsidR="00CC48FC" w:rsidRPr="00CC48FC" w:rsidRDefault="00CC48FC" w:rsidP="00CC48FC">
            <w:pPr>
              <w:adjustRightInd/>
              <w:snapToGrid/>
              <w:spacing w:after="0" w:line="6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宋体" w:eastAsia="宋体" w:hAnsi="宋体" w:cs="宋体" w:hint="eastAsia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宋体" w:eastAsia="宋体" w:hAnsi="宋体" w:cs="宋体" w:hint="eastAsia"/>
                <w:sz w:val="20"/>
                <w:szCs w:val="20"/>
              </w:rPr>
              <w:t>尚未</w:t>
            </w:r>
          </w:p>
          <w:p w:rsidR="00CC48FC" w:rsidRPr="00CC48FC" w:rsidRDefault="00CC48FC" w:rsidP="00CC48FC">
            <w:pPr>
              <w:adjustRightInd/>
              <w:snapToGrid/>
              <w:spacing w:after="0" w:line="6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宋体" w:eastAsia="宋体" w:hAnsi="宋体" w:cs="宋体" w:hint="eastAsia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宋体" w:eastAsia="宋体" w:hAnsi="宋体" w:cs="宋体" w:hint="eastAsia"/>
                <w:sz w:val="20"/>
                <w:szCs w:val="20"/>
              </w:rPr>
              <w:t>结果</w:t>
            </w:r>
          </w:p>
          <w:p w:rsidR="00CC48FC" w:rsidRPr="00CC48FC" w:rsidRDefault="00CC48FC" w:rsidP="00CC48FC">
            <w:pPr>
              <w:adjustRightInd/>
              <w:snapToGrid/>
              <w:spacing w:after="0" w:line="6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宋体" w:eastAsia="宋体" w:hAnsi="宋体" w:cs="宋体" w:hint="eastAsia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宋体" w:eastAsia="宋体" w:hAnsi="宋体" w:cs="宋体" w:hint="eastAsia"/>
                <w:sz w:val="20"/>
                <w:szCs w:val="20"/>
              </w:rPr>
              <w:t>结果</w:t>
            </w:r>
          </w:p>
          <w:p w:rsidR="00CC48FC" w:rsidRPr="00CC48FC" w:rsidRDefault="00CC48FC" w:rsidP="00CC48FC">
            <w:pPr>
              <w:adjustRightInd/>
              <w:snapToGrid/>
              <w:spacing w:after="0" w:line="6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宋体" w:eastAsia="宋体" w:hAnsi="宋体" w:cs="宋体" w:hint="eastAsia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其他</w:t>
            </w:r>
          </w:p>
          <w:p w:rsidR="00CC48FC" w:rsidRPr="00CC48FC" w:rsidRDefault="00CC48FC" w:rsidP="00CC48FC">
            <w:pPr>
              <w:adjustRightInd/>
              <w:snapToGrid/>
              <w:spacing w:after="0" w:line="6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宋体" w:eastAsia="宋体" w:hAnsi="宋体" w:cs="宋体" w:hint="eastAsia"/>
                <w:sz w:val="20"/>
                <w:szCs w:val="20"/>
              </w:rPr>
              <w:t>尚未</w:t>
            </w:r>
          </w:p>
          <w:p w:rsidR="00CC48FC" w:rsidRPr="00CC48FC" w:rsidRDefault="00CC48FC" w:rsidP="00CC48FC">
            <w:pPr>
              <w:adjustRightInd/>
              <w:snapToGrid/>
              <w:spacing w:after="0" w:line="6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宋体" w:eastAsia="宋体" w:hAnsi="宋体" w:cs="宋体" w:hint="eastAsia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总计</w:t>
            </w:r>
          </w:p>
        </w:tc>
      </w:tr>
      <w:tr w:rsidR="00CC48FC" w:rsidRPr="00CC48FC" w:rsidTr="00CC48FC">
        <w:trPr>
          <w:trHeight w:val="512"/>
          <w:jc w:val="center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黑体" w:eastAsia="黑体" w:hAnsi="黑体" w:cs="宋体" w:hint="eastAsia"/>
                <w:sz w:val="20"/>
                <w:szCs w:val="20"/>
              </w:rPr>
              <w:lastRenderedPageBreak/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黑体" w:eastAsia="黑体" w:hAnsi="黑体" w:cs="宋体" w:hint="eastAsia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黑体" w:eastAsia="黑体" w:hAnsi="黑体" w:cs="宋体" w:hint="eastAsia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黑体" w:eastAsia="黑体" w:hAnsi="黑体" w:cs="宋体" w:hint="eastAsia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黑体" w:eastAsia="黑体" w:hAnsi="黑体" w:cs="宋体" w:hint="eastAsia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黑体" w:eastAsia="黑体" w:hAnsi="黑体" w:cs="宋体" w:hint="eastAsia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黑体" w:eastAsia="黑体" w:hAnsi="黑体" w:cs="宋体" w:hint="eastAsia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黑体" w:eastAsia="黑体" w:hAnsi="黑体" w:cs="宋体" w:hint="eastAsia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黑体" w:eastAsia="黑体" w:hAnsi="黑体" w:cs="宋体" w:hint="eastAsia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黑体" w:eastAsia="黑体" w:hAnsi="黑体" w:cs="宋体" w:hint="eastAsia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黑体" w:eastAsia="黑体" w:hAnsi="黑体" w:cs="宋体" w:hint="eastAsia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黑体" w:eastAsia="黑体" w:hAnsi="黑体" w:cs="宋体" w:hint="eastAsia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黑体" w:eastAsia="黑体" w:hAnsi="黑体" w:cs="宋体" w:hint="eastAsia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黑体" w:eastAsia="黑体" w:hAnsi="黑体" w:cs="宋体" w:hint="eastAsia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8FC" w:rsidRPr="00CC48FC" w:rsidRDefault="00CC48FC" w:rsidP="00CC48FC">
            <w:pPr>
              <w:adjustRightInd/>
              <w:snapToGrid/>
              <w:spacing w:after="0" w:line="600" w:lineRule="exact"/>
              <w:ind w:firstLineChars="200" w:firstLine="4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48FC">
              <w:rPr>
                <w:rFonts w:ascii="黑体" w:eastAsia="黑体" w:hAnsi="黑体" w:cs="宋体" w:hint="eastAsia"/>
                <w:sz w:val="20"/>
                <w:szCs w:val="20"/>
              </w:rPr>
              <w:t>0</w:t>
            </w:r>
          </w:p>
        </w:tc>
      </w:tr>
    </w:tbl>
    <w:p w:rsidR="00CC48FC" w:rsidRPr="00CC48FC" w:rsidRDefault="00CC48FC" w:rsidP="00CC48FC">
      <w:pPr>
        <w:shd w:val="clear" w:color="auto" w:fill="FFFFFF"/>
        <w:adjustRightInd/>
        <w:snapToGrid/>
        <w:spacing w:after="0" w:line="600" w:lineRule="exact"/>
        <w:ind w:firstLineChars="200" w:firstLine="640"/>
        <w:jc w:val="both"/>
        <w:rPr>
          <w:rFonts w:ascii="微软雅黑" w:hAnsi="微软雅黑" w:cs="Arial"/>
          <w:color w:val="333333"/>
          <w:sz w:val="21"/>
          <w:szCs w:val="21"/>
        </w:rPr>
      </w:pPr>
      <w:r w:rsidRPr="00CC48FC">
        <w:rPr>
          <w:rFonts w:ascii="黑体" w:eastAsia="黑体" w:hAnsi="黑体" w:cs="Arial" w:hint="eastAsia"/>
          <w:color w:val="333333"/>
          <w:sz w:val="32"/>
          <w:szCs w:val="32"/>
          <w:shd w:val="clear" w:color="auto" w:fill="FFFFFF"/>
        </w:rPr>
        <w:t>五、存在的主要问题及改进情况</w:t>
      </w:r>
    </w:p>
    <w:p w:rsidR="00CC48FC" w:rsidRPr="00CC48FC" w:rsidRDefault="00CC48FC" w:rsidP="00CC48FC">
      <w:pPr>
        <w:shd w:val="clear" w:color="auto" w:fill="FFFFFF"/>
        <w:adjustRightInd/>
        <w:snapToGrid/>
        <w:spacing w:after="0" w:line="600" w:lineRule="exact"/>
        <w:ind w:firstLineChars="200" w:firstLine="600"/>
        <w:jc w:val="both"/>
        <w:rPr>
          <w:rFonts w:ascii="微软雅黑" w:hAnsi="微软雅黑" w:cs="Arial"/>
          <w:color w:val="333333"/>
          <w:sz w:val="21"/>
          <w:szCs w:val="21"/>
        </w:rPr>
      </w:pPr>
      <w:r w:rsidRPr="00CC48FC">
        <w:rPr>
          <w:rFonts w:ascii="仿宋" w:eastAsia="仿宋" w:hAnsi="仿宋" w:cs="Arial" w:hint="eastAsia"/>
          <w:color w:val="333333"/>
          <w:sz w:val="30"/>
          <w:szCs w:val="30"/>
        </w:rPr>
        <w:t>上年整改情况：</w:t>
      </w:r>
      <w:r w:rsidRPr="00CC48FC">
        <w:rPr>
          <w:rFonts w:ascii="仿宋" w:eastAsia="仿宋" w:hAnsi="仿宋" w:cs="Arial" w:hint="eastAsia"/>
          <w:color w:val="333333"/>
          <w:sz w:val="30"/>
          <w:szCs w:val="30"/>
          <w:shd w:val="clear" w:color="auto" w:fill="FFFFFF"/>
        </w:rPr>
        <w:t>着力强化部门文件发布工作，通过多种方式不断扩大群众、媒体对公安机关公共事务决策和执行过程的参与度。2023年共有2个部门文件通过意见征集库征集意见，形成面向公众的有效沟通和良性互动。</w:t>
      </w:r>
    </w:p>
    <w:p w:rsidR="00CC48FC" w:rsidRPr="00CC48FC" w:rsidRDefault="00CC48FC" w:rsidP="00CC48FC">
      <w:pPr>
        <w:shd w:val="clear" w:color="auto" w:fill="FFFFFF"/>
        <w:adjustRightInd/>
        <w:snapToGrid/>
        <w:spacing w:after="0" w:line="600" w:lineRule="exact"/>
        <w:ind w:firstLineChars="200" w:firstLine="600"/>
        <w:jc w:val="both"/>
        <w:rPr>
          <w:rFonts w:ascii="微软雅黑" w:hAnsi="微软雅黑" w:cs="Arial"/>
          <w:color w:val="333333"/>
          <w:sz w:val="21"/>
          <w:szCs w:val="21"/>
        </w:rPr>
      </w:pPr>
      <w:r w:rsidRPr="00CC48FC">
        <w:rPr>
          <w:rFonts w:ascii="仿宋" w:eastAsia="仿宋" w:hAnsi="仿宋" w:cs="Arial" w:hint="eastAsia"/>
          <w:color w:val="333333"/>
          <w:sz w:val="30"/>
          <w:szCs w:val="30"/>
        </w:rPr>
        <w:t>存在的主要问题：一是政府信息公开内容不够完善；二是政府信息公开工作业务培训和指导不足。</w:t>
      </w:r>
    </w:p>
    <w:p w:rsidR="00CC48FC" w:rsidRPr="00CC48FC" w:rsidRDefault="00CC48FC" w:rsidP="00CC48FC">
      <w:pPr>
        <w:shd w:val="clear" w:color="auto" w:fill="FFFFFF"/>
        <w:adjustRightInd/>
        <w:snapToGrid/>
        <w:spacing w:after="0" w:line="600" w:lineRule="exact"/>
        <w:ind w:firstLineChars="200" w:firstLine="600"/>
        <w:jc w:val="both"/>
        <w:rPr>
          <w:rFonts w:ascii="微软雅黑" w:hAnsi="微软雅黑" w:cs="Arial"/>
          <w:color w:val="333333"/>
          <w:sz w:val="21"/>
          <w:szCs w:val="21"/>
        </w:rPr>
      </w:pPr>
      <w:r w:rsidRPr="00CC48FC">
        <w:rPr>
          <w:rFonts w:ascii="仿宋" w:eastAsia="仿宋" w:hAnsi="仿宋" w:cs="Arial" w:hint="eastAsia"/>
          <w:color w:val="333333"/>
          <w:sz w:val="30"/>
          <w:szCs w:val="30"/>
          <w:shd w:val="clear" w:color="auto" w:fill="FFFFFF"/>
        </w:rPr>
        <w:t>针对上述问题，将从以下几个方面改进提升：一是着力强化部门文件发布工作，重点强化规范性文件起草工作，做到要素齐全、及时有效。二是坚持问题导向，加大培训力度，压实各部门一把手主体责任，进一步明确职责分工，提升政府信息公开工作人员的能力和水平。</w:t>
      </w:r>
    </w:p>
    <w:p w:rsidR="00CC48FC" w:rsidRPr="00CC48FC" w:rsidRDefault="00CC48FC" w:rsidP="00CC48FC">
      <w:pPr>
        <w:shd w:val="clear" w:color="auto" w:fill="FFFFFF"/>
        <w:adjustRightInd/>
        <w:snapToGrid/>
        <w:spacing w:after="0" w:line="600" w:lineRule="exact"/>
        <w:ind w:firstLineChars="200" w:firstLine="640"/>
        <w:jc w:val="both"/>
        <w:rPr>
          <w:rFonts w:ascii="微软雅黑" w:hAnsi="微软雅黑" w:cs="Arial"/>
          <w:color w:val="333333"/>
          <w:sz w:val="21"/>
          <w:szCs w:val="21"/>
        </w:rPr>
      </w:pPr>
      <w:r w:rsidRPr="00CC48FC">
        <w:rPr>
          <w:rFonts w:ascii="黑体" w:eastAsia="黑体" w:hAnsi="黑体" w:cs="Arial" w:hint="eastAsia"/>
          <w:color w:val="333333"/>
          <w:sz w:val="32"/>
          <w:szCs w:val="32"/>
          <w:shd w:val="clear" w:color="auto" w:fill="FFFFFF"/>
        </w:rPr>
        <w:t>六、其他需要报告的事项</w:t>
      </w:r>
    </w:p>
    <w:p w:rsidR="00CC48FC" w:rsidRPr="00CC48FC" w:rsidRDefault="00CC48FC" w:rsidP="00CC48FC">
      <w:pPr>
        <w:shd w:val="clear" w:color="auto" w:fill="FFFFFF"/>
        <w:adjustRightInd/>
        <w:snapToGrid/>
        <w:spacing w:line="600" w:lineRule="exact"/>
        <w:ind w:firstLineChars="200" w:firstLine="640"/>
        <w:jc w:val="both"/>
        <w:rPr>
          <w:rFonts w:ascii="微软雅黑" w:hAnsi="微软雅黑" w:cs="Arial"/>
          <w:color w:val="333333"/>
          <w:sz w:val="21"/>
          <w:szCs w:val="21"/>
        </w:rPr>
      </w:pPr>
      <w:r w:rsidRPr="00CC48FC">
        <w:rPr>
          <w:rFonts w:ascii="仿宋" w:eastAsia="仿宋" w:hAnsi="仿宋" w:cs="Arial" w:hint="eastAsia"/>
          <w:color w:val="333333"/>
          <w:sz w:val="32"/>
          <w:szCs w:val="32"/>
          <w:shd w:val="clear" w:color="auto" w:fill="FFFFFF"/>
        </w:rPr>
        <w:t>按照《国务院办公厅关于印发〈政府信息公开信息处理费管理办法〉的通知》（国办函〔2020〕109号）规定的按件、按量收费标准，本年度没有产生信息公开处理费。</w:t>
      </w:r>
    </w:p>
    <w:p w:rsidR="00CC48FC" w:rsidRPr="00CC48FC" w:rsidRDefault="00CC48FC" w:rsidP="00CC48FC">
      <w:pPr>
        <w:spacing w:line="220" w:lineRule="atLeast"/>
        <w:rPr>
          <w:sz w:val="18"/>
        </w:rPr>
      </w:pPr>
    </w:p>
    <w:sectPr w:rsidR="00CC48FC" w:rsidRPr="00CC48F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9520A"/>
    <w:rsid w:val="00323B43"/>
    <w:rsid w:val="003D37D8"/>
    <w:rsid w:val="00421649"/>
    <w:rsid w:val="00426133"/>
    <w:rsid w:val="004358AB"/>
    <w:rsid w:val="008B7726"/>
    <w:rsid w:val="00CC48FC"/>
    <w:rsid w:val="00D31D50"/>
    <w:rsid w:val="00E1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CC48FC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customStyle="1" w:styleId="15">
    <w:name w:val="15"/>
    <w:basedOn w:val="a0"/>
    <w:rsid w:val="00CC48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1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74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2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7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80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38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hjinzhai.gov.cn/public/index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2024-03-11T08:39:00Z</dcterms:modified>
</cp:coreProperties>
</file>