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：国家管理体系贯标试点企业申报推荐</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：《关于开展国家级两化融合管理体系贯标试点企业推荐工作的通知》（皖经信推函〔2018〕565号 ） ：1. 在安徽省内注册的企业，财务状况和运营情况良好；2. 两化融合工作具备良好基础，管理规范，企业数字化建设具备一定基础；3. 对建立两化融合管理体系有需求，自愿开展两化融合管理体系贯标；4. 具有建立实施管理体系的经验，如质量、环境、能源、职业健康安全、信息安全和信息技术服务等。5、已确定为国家级贯标试点的企业，以及已经通过国家两化融合管理体系评定的企业无须申报。</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1. 在安徽省内注册的企业，财务状况和运营情况良好；2. 两化融合工作具备良好基础，管理规范，企业数字化建设具备一定基础；3. 对建立两化融合管理体系有需求，自愿开展两化融合管理体系贯标； 4. 具有建立实施管理体系的经验，如质量、环境、能源、职业健康安全、信息安全和信息技术服务等。5、 已确定为国家级贯标试点的企业，以及已经通过国家两化融合管理体系评定的企业无须申报。</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申请材料</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两化融合管理体系贯标试点企业申请表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企业两化融合现状与水平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企业两化融合管理现状与水平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ascii="宋体" w:hAnsi="宋体" w:eastAsia="宋体" w:cs="宋体"/>
          <w:sz w:val="24"/>
          <w:szCs w:val="24"/>
        </w:rPr>
        <w:t>通过中国两化融合咨询服务平台开展周期性自评估的报告、企业获得国家（省级）级制造业互联网融合示范企业和国家（省 级）级两化融合示范企业称号证明材料</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：1受理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bookmarkStart w:id="0" w:name="_GoBack"/>
      <w:bookmarkEnd w:id="0"/>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《关于开展国家级两化融合管理体 系贯标试点企业推荐工作的通知》 （皖经信推函〔2018〕565号）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35387F65"/>
    <w:rsid w:val="370A3741"/>
    <w:rsid w:val="4C4058A9"/>
    <w:rsid w:val="523010D6"/>
    <w:rsid w:val="6136138D"/>
    <w:rsid w:val="6E61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