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6640" w14:textId="77777777" w:rsidR="003748B0" w:rsidRDefault="003748B0" w:rsidP="003748B0">
      <w:pPr>
        <w:spacing w:line="590" w:lineRule="exact"/>
        <w:jc w:val="center"/>
        <w:rPr>
          <w:rFonts w:ascii="Times New Roman" w:eastAsia="方正小标宋_GBK"/>
          <w:sz w:val="44"/>
        </w:rPr>
      </w:pPr>
    </w:p>
    <w:p w14:paraId="2AC6AF9F" w14:textId="77777777" w:rsidR="003748B0" w:rsidRDefault="003748B0" w:rsidP="003748B0">
      <w:pPr>
        <w:spacing w:line="590" w:lineRule="exact"/>
        <w:jc w:val="center"/>
        <w:rPr>
          <w:rFonts w:ascii="Times New Roman" w:eastAsia="方正小标宋_GBK"/>
          <w:sz w:val="44"/>
        </w:rPr>
      </w:pPr>
    </w:p>
    <w:p w14:paraId="4539DB13" w14:textId="2EDE8CA7" w:rsidR="003748B0" w:rsidRPr="003748B0" w:rsidRDefault="003748B0" w:rsidP="003748B0">
      <w:pPr>
        <w:spacing w:line="590" w:lineRule="exact"/>
        <w:jc w:val="center"/>
        <w:rPr>
          <w:rFonts w:ascii="Times New Roman" w:eastAsia="方正小标宋_GBK"/>
          <w:sz w:val="44"/>
        </w:rPr>
      </w:pPr>
      <w:r w:rsidRPr="003748B0">
        <w:rPr>
          <w:rFonts w:ascii="Times New Roman" w:eastAsia="方正小标宋_GBK" w:hint="eastAsia"/>
          <w:sz w:val="44"/>
        </w:rPr>
        <w:t>金寨县人民政府森林防火禁火令</w:t>
      </w:r>
    </w:p>
    <w:p w14:paraId="579638F9" w14:textId="77777777" w:rsidR="003748B0" w:rsidRPr="003748B0" w:rsidRDefault="003748B0" w:rsidP="003748B0">
      <w:pPr>
        <w:spacing w:line="590" w:lineRule="exact"/>
        <w:jc w:val="center"/>
        <w:rPr>
          <w:rFonts w:ascii="Times New Roman" w:eastAsia="方正仿宋_GBK"/>
        </w:rPr>
      </w:pPr>
      <w:bookmarkStart w:id="0" w:name="文号"/>
      <w:r w:rsidRPr="003748B0">
        <w:rPr>
          <w:rFonts w:ascii="Times New Roman" w:eastAsia="方正仿宋_GBK" w:hint="eastAsia"/>
        </w:rPr>
        <w:t>金政〔</w:t>
      </w:r>
      <w:r w:rsidRPr="003748B0">
        <w:rPr>
          <w:rFonts w:ascii="Times New Roman" w:eastAsia="方正仿宋_GBK" w:hint="eastAsia"/>
        </w:rPr>
        <w:t>2022</w:t>
      </w:r>
      <w:r w:rsidRPr="003748B0">
        <w:rPr>
          <w:rFonts w:ascii="Times New Roman" w:eastAsia="方正仿宋_GBK" w:hint="eastAsia"/>
        </w:rPr>
        <w:t>〕</w:t>
      </w:r>
      <w:r w:rsidRPr="003748B0">
        <w:rPr>
          <w:rFonts w:ascii="Times New Roman" w:eastAsia="方正仿宋_GBK" w:hint="eastAsia"/>
        </w:rPr>
        <w:t>43</w:t>
      </w:r>
      <w:r w:rsidRPr="003748B0">
        <w:rPr>
          <w:rFonts w:ascii="Times New Roman" w:eastAsia="方正仿宋_GBK" w:hint="eastAsia"/>
        </w:rPr>
        <w:t>号</w:t>
      </w:r>
      <w:bookmarkEnd w:id="0"/>
    </w:p>
    <w:p w14:paraId="391496D4" w14:textId="77777777" w:rsidR="003748B0" w:rsidRDefault="003748B0" w:rsidP="003748B0">
      <w:pPr>
        <w:spacing w:line="590" w:lineRule="exact"/>
        <w:ind w:firstLineChars="200" w:firstLine="640"/>
        <w:jc w:val="center"/>
        <w:rPr>
          <w:rFonts w:ascii="Times New Roman"/>
        </w:rPr>
      </w:pPr>
    </w:p>
    <w:p w14:paraId="65EB0BD8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为切实加强野外火源管控，有效预防和遏制森林火灾，保护森林资源和人民群众生命财产安全，根据《中华人民共和国森林法》、《森林防火条例》、《安徽省森林防火办法》等法律法规规定，县政府决定，发布森林防火禁火令。</w:t>
      </w:r>
    </w:p>
    <w:p w14:paraId="05324C97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一、禁火期：</w:t>
      </w:r>
      <w:r w:rsidRPr="003748B0">
        <w:rPr>
          <w:rFonts w:ascii="Times New Roman" w:eastAsia="方正仿宋_GBK"/>
        </w:rPr>
        <w:t>2022</w:t>
      </w:r>
      <w:r w:rsidRPr="003748B0">
        <w:rPr>
          <w:rFonts w:ascii="Times New Roman" w:eastAsia="方正仿宋_GBK" w:hint="eastAsia"/>
        </w:rPr>
        <w:t>年</w:t>
      </w:r>
      <w:r w:rsidRPr="003748B0">
        <w:rPr>
          <w:rFonts w:ascii="Times New Roman" w:eastAsia="方正仿宋_GBK"/>
        </w:rPr>
        <w:t>10</w:t>
      </w:r>
      <w:r w:rsidRPr="003748B0">
        <w:rPr>
          <w:rFonts w:ascii="Times New Roman" w:eastAsia="方正仿宋_GBK" w:hint="eastAsia"/>
        </w:rPr>
        <w:t>月</w:t>
      </w:r>
      <w:r w:rsidRPr="003748B0">
        <w:rPr>
          <w:rFonts w:ascii="Times New Roman" w:eastAsia="方正仿宋_GBK"/>
        </w:rPr>
        <w:t>1</w:t>
      </w:r>
      <w:r w:rsidRPr="003748B0">
        <w:rPr>
          <w:rFonts w:ascii="Times New Roman" w:eastAsia="方正仿宋_GBK" w:hint="eastAsia"/>
        </w:rPr>
        <w:t>日至</w:t>
      </w:r>
      <w:r w:rsidRPr="003748B0">
        <w:rPr>
          <w:rFonts w:ascii="Times New Roman" w:eastAsia="方正仿宋_GBK"/>
        </w:rPr>
        <w:t>2023</w:t>
      </w:r>
      <w:r w:rsidRPr="003748B0">
        <w:rPr>
          <w:rFonts w:ascii="Times New Roman" w:eastAsia="方正仿宋_GBK" w:hint="eastAsia"/>
        </w:rPr>
        <w:t>年</w:t>
      </w:r>
      <w:r w:rsidRPr="003748B0">
        <w:rPr>
          <w:rFonts w:ascii="Times New Roman" w:eastAsia="方正仿宋_GBK"/>
        </w:rPr>
        <w:t>5</w:t>
      </w:r>
      <w:r w:rsidRPr="003748B0">
        <w:rPr>
          <w:rFonts w:ascii="Times New Roman" w:eastAsia="方正仿宋_GBK" w:hint="eastAsia"/>
        </w:rPr>
        <w:t>月</w:t>
      </w:r>
      <w:r w:rsidRPr="003748B0">
        <w:rPr>
          <w:rFonts w:ascii="Times New Roman" w:eastAsia="方正仿宋_GBK"/>
        </w:rPr>
        <w:t>10</w:t>
      </w:r>
      <w:r w:rsidRPr="003748B0">
        <w:rPr>
          <w:rFonts w:ascii="Times New Roman" w:eastAsia="方正仿宋_GBK" w:hint="eastAsia"/>
        </w:rPr>
        <w:t>日。</w:t>
      </w:r>
    </w:p>
    <w:p w14:paraId="75B0FEA4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二、禁火区：</w:t>
      </w:r>
    </w:p>
    <w:p w14:paraId="2225C5DA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（一）森林防火区：全县所有林地、林带边缘水平距离</w:t>
      </w:r>
      <w:r w:rsidRPr="003748B0">
        <w:rPr>
          <w:rFonts w:ascii="Times New Roman" w:eastAsia="方正仿宋_GBK"/>
        </w:rPr>
        <w:t>300</w:t>
      </w:r>
      <w:r w:rsidRPr="003748B0">
        <w:rPr>
          <w:rFonts w:ascii="Times New Roman" w:eastAsia="方正仿宋_GBK" w:hint="eastAsia"/>
        </w:rPr>
        <w:t>米范围内的区域；</w:t>
      </w:r>
    </w:p>
    <w:p w14:paraId="1E2401CE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（二）高火险区：天马国家级自然保护区、国有林场、天堂寨镇、燕子河镇、长岭乡、吴家店镇、沙河乡、关庙乡、汤家汇镇、梅山镇。</w:t>
      </w:r>
    </w:p>
    <w:p w14:paraId="66660BDB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三、在禁火期内，凡进入禁火区域活动的单位和个人，必须严格遵循下列规定：</w:t>
      </w:r>
    </w:p>
    <w:p w14:paraId="73E1D075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（一）严禁吸烟、野炊烧烤、明火照明、烧火取暖、烧火驱蜂驱兽、放孔明灯；</w:t>
      </w:r>
    </w:p>
    <w:p w14:paraId="39071B08" w14:textId="033CC82B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（二）严禁烧田埂（坎）、</w:t>
      </w:r>
      <w:r w:rsidR="000950F8">
        <w:rPr>
          <w:rFonts w:ascii="Times New Roman" w:eastAsia="方正仿宋_GBK" w:hint="eastAsia"/>
        </w:rPr>
        <w:t>秸秆</w:t>
      </w:r>
      <w:r w:rsidRPr="003748B0">
        <w:rPr>
          <w:rFonts w:ascii="Times New Roman" w:eastAsia="方正仿宋_GBK" w:hint="eastAsia"/>
        </w:rPr>
        <w:t>、杂草、枯枝落叶等可燃物和烧草积肥；</w:t>
      </w:r>
    </w:p>
    <w:p w14:paraId="60A4C591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（三）严禁上坟祭祀时烧香、烧纸钱、送明火灯、燃放</w:t>
      </w:r>
      <w:r w:rsidRPr="003748B0">
        <w:rPr>
          <w:rFonts w:ascii="Times New Roman" w:eastAsia="方正仿宋_GBK" w:hint="eastAsia"/>
        </w:rPr>
        <w:lastRenderedPageBreak/>
        <w:t>烟花爆竹；</w:t>
      </w:r>
    </w:p>
    <w:p w14:paraId="2C3C2657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  <w:spacing w:val="-10"/>
        </w:rPr>
      </w:pPr>
      <w:r w:rsidRPr="003748B0">
        <w:rPr>
          <w:rFonts w:ascii="Times New Roman" w:eastAsia="方正仿宋_GBK" w:hint="eastAsia"/>
        </w:rPr>
        <w:t>（四）</w:t>
      </w:r>
      <w:r w:rsidRPr="003748B0">
        <w:rPr>
          <w:rFonts w:ascii="Times New Roman" w:eastAsia="方正仿宋_GBK" w:hint="eastAsia"/>
          <w:spacing w:val="-10"/>
        </w:rPr>
        <w:t>严禁非法架设电捕器捕猎和未经批准使用枪械狩猎；</w:t>
      </w:r>
    </w:p>
    <w:p w14:paraId="1A97A934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（五）严禁未经批准，擅自烧制木炭、炼山、计划烧除等生产性用火行为；</w:t>
      </w:r>
    </w:p>
    <w:p w14:paraId="47430250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（六）严禁携带、使用、运输火种和易燃、易爆、危险化学等物品；</w:t>
      </w:r>
    </w:p>
    <w:p w14:paraId="70BC8968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（七）无民事行为能力和限制民事行为能力人进入林区，需有监护人陪同，监护人要履行有效的监护责任；</w:t>
      </w:r>
    </w:p>
    <w:p w14:paraId="0BF04C87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（八）法律法规规定的其他情形。</w:t>
      </w:r>
    </w:p>
    <w:p w14:paraId="1CB48055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四、森林、林木、林地的经营单位和个人，应当在其经营范围内承担森林防火责任，配置灭火机具，设置森林防火警示宣传标志，并对进入其经营范围的人员进行森林防火宣传。</w:t>
      </w:r>
    </w:p>
    <w:p w14:paraId="53ABF393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五、在禁火区内从事爆破、勘察、采矿、修筑工程设施的，应当履行报批手续，并按照森林防火的要求，设置森林防火设施，配置森林防火设备。</w:t>
      </w:r>
    </w:p>
    <w:p w14:paraId="06AC3F2C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六、林区居民生活用火，进入林区的机动交通工具，要按规定落实相关防火措施。</w:t>
      </w:r>
    </w:p>
    <w:p w14:paraId="19003CA0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七、任何单位和个人不得毁坏或占用森林防火设施、设备。</w:t>
      </w:r>
    </w:p>
    <w:p w14:paraId="39227E19" w14:textId="77777777" w:rsidR="003748B0" w:rsidRPr="003748B0" w:rsidRDefault="003748B0" w:rsidP="003748B0">
      <w:pPr>
        <w:spacing w:line="590" w:lineRule="exact"/>
        <w:ind w:firstLineChars="200" w:firstLine="640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八、凡违反本禁令规定的单位和个人，由有关职能部门依据《中华人民共和国治安管理处罚法》、《森林防火条例》和《安徽省森林防火办法》等给予相应的行政处罚；构成犯</w:t>
      </w:r>
      <w:r w:rsidRPr="003748B0">
        <w:rPr>
          <w:rFonts w:ascii="Times New Roman" w:eastAsia="方正仿宋_GBK" w:hint="eastAsia"/>
        </w:rPr>
        <w:lastRenderedPageBreak/>
        <w:t>罪的，依法追究刑事责任。属国家公职人员的，由有关部门按规定给予政务处分。</w:t>
      </w:r>
    </w:p>
    <w:p w14:paraId="3CB963C0" w14:textId="77777777" w:rsidR="003748B0" w:rsidRDefault="003748B0" w:rsidP="003748B0">
      <w:pPr>
        <w:spacing w:line="590" w:lineRule="exact"/>
        <w:rPr>
          <w:rFonts w:ascii="Times New Roman" w:eastAsia="方正仿宋_GBK"/>
        </w:rPr>
      </w:pPr>
    </w:p>
    <w:p w14:paraId="0F9BCF5E" w14:textId="746E548D" w:rsidR="003748B0" w:rsidRDefault="003748B0" w:rsidP="003748B0">
      <w:pPr>
        <w:wordWrap w:val="0"/>
        <w:spacing w:line="590" w:lineRule="exact"/>
        <w:jc w:val="right"/>
        <w:rPr>
          <w:rFonts w:ascii="Times New Roman" w:eastAsia="方正仿宋_GBK"/>
        </w:rPr>
      </w:pPr>
      <w:r w:rsidRPr="003748B0">
        <w:rPr>
          <w:rFonts w:ascii="Times New Roman" w:eastAsia="方正仿宋_GBK" w:hint="eastAsia"/>
        </w:rPr>
        <w:t>金寨县人民政府</w:t>
      </w:r>
      <w:r>
        <w:rPr>
          <w:rFonts w:ascii="Times New Roman" w:eastAsia="方正仿宋_GBK" w:hint="eastAsia"/>
        </w:rPr>
        <w:t xml:space="preserve"> </w:t>
      </w:r>
      <w:r>
        <w:rPr>
          <w:rFonts w:ascii="Times New Roman" w:eastAsia="方正仿宋_GBK"/>
        </w:rPr>
        <w:t xml:space="preserve">    </w:t>
      </w:r>
    </w:p>
    <w:p w14:paraId="1AAAB7DA" w14:textId="6CDC9CF4" w:rsidR="003748B0" w:rsidRPr="003748B0" w:rsidRDefault="003748B0" w:rsidP="003748B0">
      <w:pPr>
        <w:wordWrap w:val="0"/>
        <w:spacing w:line="590" w:lineRule="exact"/>
        <w:jc w:val="right"/>
        <w:rPr>
          <w:rFonts w:ascii="Times New Roman" w:eastAsia="方正仿宋_GBK"/>
        </w:rPr>
      </w:pPr>
      <w:r w:rsidRPr="003748B0">
        <w:rPr>
          <w:rFonts w:ascii="Times New Roman" w:eastAsia="方正仿宋_GBK"/>
        </w:rPr>
        <w:t>2022</w:t>
      </w:r>
      <w:r w:rsidRPr="003748B0">
        <w:rPr>
          <w:rFonts w:ascii="Times New Roman" w:eastAsia="方正仿宋_GBK" w:hint="eastAsia"/>
        </w:rPr>
        <w:t>年</w:t>
      </w:r>
      <w:r w:rsidRPr="003748B0">
        <w:rPr>
          <w:rFonts w:ascii="Times New Roman" w:eastAsia="方正仿宋_GBK"/>
        </w:rPr>
        <w:t>9</w:t>
      </w:r>
      <w:r w:rsidRPr="003748B0">
        <w:rPr>
          <w:rFonts w:ascii="Times New Roman" w:eastAsia="方正仿宋_GBK" w:hint="eastAsia"/>
        </w:rPr>
        <w:t>月</w:t>
      </w:r>
      <w:r w:rsidRPr="003748B0">
        <w:rPr>
          <w:rFonts w:ascii="Times New Roman" w:eastAsia="方正仿宋_GBK"/>
        </w:rPr>
        <w:t>23</w:t>
      </w:r>
      <w:r w:rsidRPr="003748B0">
        <w:rPr>
          <w:rFonts w:ascii="Times New Roman" w:eastAsia="方正仿宋_GBK" w:hint="eastAsia"/>
        </w:rPr>
        <w:t>日</w:t>
      </w:r>
      <w:r>
        <w:rPr>
          <w:rFonts w:ascii="Times New Roman" w:eastAsia="方正仿宋_GBK" w:hint="eastAsia"/>
        </w:rPr>
        <w:t xml:space="preserve"> </w:t>
      </w:r>
      <w:r>
        <w:rPr>
          <w:rFonts w:ascii="Times New Roman" w:eastAsia="方正仿宋_GBK"/>
        </w:rPr>
        <w:t xml:space="preserve">   </w:t>
      </w:r>
    </w:p>
    <w:p w14:paraId="6D552465" w14:textId="77777777" w:rsidR="00AF4331" w:rsidRDefault="00AF4331" w:rsidP="003748B0">
      <w:pPr>
        <w:spacing w:line="590" w:lineRule="exact"/>
      </w:pPr>
    </w:p>
    <w:sectPr w:rsidR="00AF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C4E9" w14:textId="77777777" w:rsidR="00AB5F46" w:rsidRDefault="00AB5F46" w:rsidP="003748B0">
      <w:r>
        <w:separator/>
      </w:r>
    </w:p>
  </w:endnote>
  <w:endnote w:type="continuationSeparator" w:id="0">
    <w:p w14:paraId="6D674D21" w14:textId="77777777" w:rsidR="00AB5F46" w:rsidRDefault="00AB5F46" w:rsidP="0037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4386" w14:textId="77777777" w:rsidR="00AB5F46" w:rsidRDefault="00AB5F46" w:rsidP="003748B0">
      <w:r>
        <w:separator/>
      </w:r>
    </w:p>
  </w:footnote>
  <w:footnote w:type="continuationSeparator" w:id="0">
    <w:p w14:paraId="7C3E21CC" w14:textId="77777777" w:rsidR="00AB5F46" w:rsidRDefault="00AB5F46" w:rsidP="0037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C9"/>
    <w:rsid w:val="000950F8"/>
    <w:rsid w:val="003748B0"/>
    <w:rsid w:val="004E448B"/>
    <w:rsid w:val="00612DC9"/>
    <w:rsid w:val="006C74DF"/>
    <w:rsid w:val="00AB5F46"/>
    <w:rsid w:val="00AF4331"/>
    <w:rsid w:val="00E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E59C"/>
  <w15:chartTrackingRefBased/>
  <w15:docId w15:val="{4E4727FC-20C5-4DBE-8E10-7A6A2FE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8B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rsid w:val="00EF1A1A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F1A1A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37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8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璜</dc:creator>
  <cp:keywords/>
  <dc:description/>
  <cp:lastModifiedBy>王 璜</cp:lastModifiedBy>
  <cp:revision>3</cp:revision>
  <dcterms:created xsi:type="dcterms:W3CDTF">2023-05-06T07:58:00Z</dcterms:created>
  <dcterms:modified xsi:type="dcterms:W3CDTF">2023-05-06T08:03:00Z</dcterms:modified>
</cp:coreProperties>
</file>