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6" w:lineRule="exact"/>
        <w:rPr>
          <w:rFonts w:eastAsia="仿宋_GB2312"/>
          <w:sz w:val="32"/>
          <w:szCs w:val="32"/>
        </w:rPr>
      </w:pPr>
    </w:p>
    <w:p>
      <w:pPr>
        <w:spacing w:line="526" w:lineRule="exact"/>
        <w:rPr>
          <w:rFonts w:eastAsia="仿宋_GB2312"/>
          <w:sz w:val="32"/>
          <w:szCs w:val="32"/>
        </w:rPr>
      </w:pPr>
    </w:p>
    <w:p>
      <w:pPr>
        <w:spacing w:line="526" w:lineRule="exact"/>
        <w:rPr>
          <w:rFonts w:eastAsia="仿宋_GB2312"/>
          <w:sz w:val="32"/>
          <w:szCs w:val="32"/>
        </w:rPr>
      </w:pPr>
    </w:p>
    <w:p>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2022</w:t>
      </w:r>
      <w:r>
        <w:rPr>
          <w:rFonts w:hint="eastAsia" w:eastAsia="仿宋_GB2312"/>
          <w:sz w:val="32"/>
          <w:szCs w:val="32"/>
        </w:rPr>
        <w:t>〕</w:t>
      </w:r>
      <w:r>
        <w:rPr>
          <w:rFonts w:hint="eastAsia" w:eastAsia="仿宋_GB2312"/>
          <w:sz w:val="32"/>
          <w:szCs w:val="32"/>
          <w:lang w:val="en-US" w:eastAsia="zh-CN"/>
        </w:rPr>
        <w:t>70</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六安市金寨县生态环境分局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spacing w:val="-11"/>
          <w:kern w:val="10"/>
          <w:sz w:val="44"/>
          <w:szCs w:val="44"/>
          <w:lang w:val="en-US" w:eastAsia="zh-CN"/>
        </w:rPr>
      </w:pPr>
      <w:r>
        <w:rPr>
          <w:rFonts w:hint="eastAsia" w:ascii="方正小标宋简体" w:hAnsi="宋体" w:eastAsia="方正小标宋简体" w:cs="宋体"/>
          <w:bCs/>
          <w:kern w:val="10"/>
          <w:sz w:val="44"/>
          <w:szCs w:val="44"/>
        </w:rPr>
        <w:t>关于</w:t>
      </w:r>
      <w:r>
        <w:rPr>
          <w:rFonts w:hint="eastAsia" w:ascii="方正小标宋简体" w:hAnsi="宋体" w:eastAsia="方正小标宋简体" w:cs="宋体"/>
          <w:bCs/>
          <w:spacing w:val="-11"/>
          <w:kern w:val="10"/>
          <w:sz w:val="44"/>
          <w:szCs w:val="44"/>
          <w:lang w:val="en-US" w:eastAsia="zh-CN"/>
        </w:rPr>
        <w:t>国轩控股集团新能源高端制造产业基地项目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eastAsia="仿宋_GB2312"/>
          <w:color w:val="000000"/>
          <w:kern w:val="10"/>
          <w:sz w:val="32"/>
          <w:szCs w:val="32"/>
        </w:rPr>
      </w:pPr>
      <w:r>
        <w:rPr>
          <w:rFonts w:hint="eastAsia" w:eastAsia="仿宋_GB2312"/>
          <w:color w:val="000000"/>
          <w:kern w:val="10"/>
          <w:sz w:val="32"/>
          <w:szCs w:val="32"/>
          <w:lang w:val="en-US" w:eastAsia="zh-CN"/>
        </w:rPr>
        <w:t>安徽金诚储能科技有限公司</w:t>
      </w:r>
      <w:r>
        <w:rPr>
          <w:rFonts w:hint="eastAsia" w:eastAsia="仿宋_GB2312"/>
          <w:color w:val="000000"/>
          <w:kern w:val="10"/>
          <w:sz w:val="32"/>
          <w:szCs w:val="32"/>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eastAsia="zh-CN"/>
        </w:rPr>
        <w:t>国轩控股集团新能源高端制造产业基地项目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代码：2206-341524-04-01-150908</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位于安徽金寨经济开发区（现代产业园区）白马峰路与金家寨路交叉口，占地面积约432.5亩，总建筑面积174617.84平方米</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项目分两期建设，其中一期工程占地面积约66亩，建筑面积26647.13平方米，主体工程建设1栋生产车间</w:t>
      </w:r>
      <w:r>
        <w:rPr>
          <w:rFonts w:hint="eastAsia" w:eastAsia="仿宋_GB2312" w:cs="Times New Roman"/>
          <w:color w:val="000000"/>
          <w:kern w:val="10"/>
          <w:sz w:val="32"/>
          <w:szCs w:val="32"/>
          <w:lang w:val="en-US" w:eastAsia="zh-CN" w:bidi="ar"/>
        </w:rPr>
        <w:t>；</w:t>
      </w:r>
      <w:r>
        <w:rPr>
          <w:rFonts w:hint="eastAsia" w:eastAsia="仿宋_GB2312"/>
          <w:color w:val="000000"/>
          <w:kern w:val="10"/>
          <w:sz w:val="32"/>
          <w:szCs w:val="32"/>
          <w:lang w:val="en-US" w:eastAsia="zh-CN"/>
        </w:rPr>
        <w:t>二期工程占地面积约366.5亩，建筑面积147970.71平方米，主体工程建设2栋生产车间。</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综合楼、倒班楼等辅助、储运、公用以及</w:t>
      </w:r>
      <w:r>
        <w:rPr>
          <w:rFonts w:hint="eastAsia" w:eastAsia="仿宋_GB2312"/>
          <w:color w:val="000000"/>
          <w:kern w:val="10"/>
          <w:sz w:val="32"/>
          <w:szCs w:val="32"/>
        </w:rPr>
        <w:t>环保工程</w:t>
      </w:r>
      <w:r>
        <w:rPr>
          <w:rFonts w:eastAsia="仿宋_GB2312"/>
          <w:color w:val="000000"/>
          <w:kern w:val="10"/>
          <w:sz w:val="32"/>
          <w:szCs w:val="32"/>
        </w:rPr>
        <w:t>。项目总投资约</w:t>
      </w:r>
      <w:r>
        <w:rPr>
          <w:rFonts w:hint="eastAsia" w:eastAsia="仿宋_GB2312"/>
          <w:color w:val="000000"/>
          <w:kern w:val="10"/>
          <w:sz w:val="32"/>
          <w:szCs w:val="32"/>
          <w:lang w:val="en-US" w:eastAsia="zh-CN"/>
        </w:rPr>
        <w:t>100亿</w:t>
      </w:r>
      <w:r>
        <w:rPr>
          <w:rFonts w:eastAsia="仿宋_GB2312"/>
          <w:color w:val="000000"/>
          <w:kern w:val="10"/>
          <w:sz w:val="32"/>
          <w:szCs w:val="32"/>
        </w:rPr>
        <w:t>元，其中环保投资不低于</w:t>
      </w:r>
      <w:r>
        <w:rPr>
          <w:rFonts w:hint="eastAsia" w:eastAsia="仿宋_GB2312"/>
          <w:color w:val="000000"/>
          <w:kern w:val="10"/>
          <w:sz w:val="32"/>
          <w:szCs w:val="32"/>
          <w:lang w:val="en-US" w:eastAsia="zh-CN"/>
        </w:rPr>
        <w:t>1600</w:t>
      </w:r>
      <w:r>
        <w:rPr>
          <w:rFonts w:eastAsia="仿宋_GB2312"/>
          <w:color w:val="000000"/>
          <w:kern w:val="10"/>
          <w:sz w:val="32"/>
          <w:szCs w:val="32"/>
        </w:rPr>
        <w:t>万元</w:t>
      </w:r>
      <w:r>
        <w:rPr>
          <w:rFonts w:hint="eastAsia" w:eastAsia="仿宋_GB2312"/>
          <w:color w:val="000000"/>
          <w:kern w:val="10"/>
          <w:sz w:val="32"/>
          <w:szCs w:val="32"/>
        </w:rPr>
        <w:t>，</w:t>
      </w:r>
      <w:r>
        <w:rPr>
          <w:rFonts w:eastAsia="仿宋_GB2312"/>
          <w:color w:val="000000"/>
          <w:kern w:val="10"/>
          <w:sz w:val="32"/>
          <w:szCs w:val="32"/>
        </w:rPr>
        <w:t>建成后可形成</w:t>
      </w:r>
      <w:r>
        <w:rPr>
          <w:rFonts w:hint="eastAsia" w:eastAsia="仿宋_GB2312"/>
          <w:color w:val="000000"/>
          <w:kern w:val="10"/>
          <w:sz w:val="32"/>
          <w:szCs w:val="32"/>
          <w:lang w:val="en-US" w:eastAsia="zh-CN"/>
        </w:rPr>
        <w:t xml:space="preserve">年产20Gwh汽车动力电池的生产能力。                                                                                                                                                                                                                                                                                                                                                                                                                                                                                                                                                                                                                                                                                                                                                                                                                                                                                                                                                                                                                                                                                                                                                                                                                                                                                                                                                                                                                                                                                                                                                                                                                                                                                                                                                                                                                                                                                                                                                                                                                                                                                                                                                                                                                                                                                                                                                                                                                                                                                                                                                                                                                                                                                                                                                                                                                                                                                                                                                                                                                                                                                                                                                                                                                                                                                                                                                                                                                                                                                                                                                                                                                                                                                                                                                                                                                                                                                                                                                                                                                                                                                                                                                                                             </w:t>
      </w:r>
      <w:r>
        <w:rPr>
          <w:rFonts w:hint="eastAsia" w:eastAsia="仿宋_GB2312"/>
          <w:color w:val="000000"/>
          <w:kern w:val="10"/>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该项目符合建设项目环境影响评价文件告知承诺审批的相关要求。根据《环境影响评价法》、《安徽省生态环境厅关于强化生态环境保障和服务助力稳经济若干措施的通知》（皖环发〔2022〕34 号）等有关规定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经你公司和环评编制单位承诺，我分局原则同意该项目《报告表》结论以及提出的污染防治措施。重点关注并做好设备清洗废水、碱液喷淋塔排水、NMP废气、电解液废气以及危险废物的收集处置。</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投产的环保“三同时”制度，规范建设污水处理站、事故应急池，编制突发环境事故应急预案并定期演练，确保各项污染物达标排放、污染物总量符合核定指标、各项环境风险可控。</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三、项目投产前，</w:t>
      </w:r>
      <w:r>
        <w:rPr>
          <w:rFonts w:hint="eastAsia" w:eastAsia="仿宋_GB2312"/>
          <w:color w:val="000000"/>
          <w:kern w:val="10"/>
          <w:sz w:val="32"/>
          <w:szCs w:val="32"/>
        </w:rPr>
        <w:t>应按规定程序完成排污许可证申领、竣工环境保护验收工作，并将相关信息对社会公开。</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四、</w:t>
      </w:r>
      <w:r>
        <w:rPr>
          <w:rFonts w:hint="eastAsia" w:eastAsia="仿宋_GB2312"/>
          <w:color w:val="000000"/>
          <w:kern w:val="10"/>
          <w:sz w:val="32"/>
          <w:szCs w:val="32"/>
        </w:rPr>
        <w:t>建设项目的</w:t>
      </w:r>
      <w:r>
        <w:rPr>
          <w:rFonts w:hint="eastAsia" w:eastAsia="仿宋_GB2312"/>
          <w:color w:val="000000"/>
          <w:kern w:val="10"/>
          <w:sz w:val="32"/>
          <w:szCs w:val="32"/>
          <w:lang w:val="en-US" w:eastAsia="zh-CN"/>
        </w:rPr>
        <w:t>性质、</w:t>
      </w:r>
      <w:r>
        <w:rPr>
          <w:rFonts w:hint="eastAsia" w:eastAsia="仿宋_GB2312"/>
          <w:color w:val="000000"/>
          <w:kern w:val="10"/>
          <w:sz w:val="32"/>
          <w:szCs w:val="32"/>
        </w:rPr>
        <w:t>规模、地点、工艺或者污染防治措施发生重大变动时，应当重新报批环境影响评价文件。</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五、</w:t>
      </w:r>
      <w:r>
        <w:rPr>
          <w:rFonts w:hint="eastAsia" w:eastAsia="仿宋_GB2312"/>
          <w:color w:val="000000"/>
          <w:kern w:val="10"/>
          <w:sz w:val="32"/>
          <w:szCs w:val="32"/>
        </w:rPr>
        <w:t>请县生态环境保护综合行政执法大队</w:t>
      </w:r>
      <w:r>
        <w:rPr>
          <w:rFonts w:hint="eastAsia" w:eastAsia="仿宋_GB2312"/>
          <w:color w:val="000000"/>
          <w:kern w:val="10"/>
          <w:sz w:val="32"/>
          <w:szCs w:val="32"/>
          <w:lang w:eastAsia="zh-CN"/>
        </w:rPr>
        <w:t>、经济开发区生态环境工作站</w:t>
      </w:r>
      <w:r>
        <w:rPr>
          <w:rFonts w:hint="eastAsia" w:eastAsia="仿宋_GB2312"/>
          <w:color w:val="000000"/>
          <w:kern w:val="10"/>
          <w:sz w:val="32"/>
          <w:szCs w:val="32"/>
        </w:rPr>
        <w:t>对</w:t>
      </w:r>
      <w:r>
        <w:rPr>
          <w:rFonts w:hint="eastAsia" w:eastAsia="仿宋_GB2312"/>
          <w:color w:val="000000"/>
          <w:kern w:val="10"/>
          <w:sz w:val="32"/>
          <w:szCs w:val="32"/>
          <w:lang w:val="zh-CN" w:eastAsia="zh-CN"/>
        </w:rPr>
        <w:t>安徽金诚储能科技有限公司国轩控股集团新能源高端制造产业基地项目</w:t>
      </w:r>
      <w:r>
        <w:rPr>
          <w:rFonts w:hint="eastAsia" w:eastAsia="仿宋_GB2312"/>
          <w:color w:val="000000"/>
          <w:kern w:val="10"/>
          <w:sz w:val="32"/>
          <w:szCs w:val="32"/>
        </w:rPr>
        <w:t>加强现场监管。</w:t>
      </w:r>
      <w:r>
        <w:rPr>
          <w:rFonts w:eastAsia="仿宋_GB2312"/>
          <w:color w:val="000000"/>
          <w:kern w:val="1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rPr>
      </w:pPr>
      <w:r>
        <w:rPr>
          <w:rFonts w:hint="eastAsia" w:eastAsia="仿宋_GB2312"/>
          <w:color w:val="000000"/>
          <w:kern w:val="10"/>
          <w:sz w:val="32"/>
          <w:szCs w:val="32"/>
          <w:lang w:val="en-US" w:eastAsia="zh-CN"/>
        </w:rPr>
        <w:t>六、</w:t>
      </w:r>
      <w:r>
        <w:rPr>
          <w:rFonts w:hint="eastAsia" w:eastAsia="仿宋_GB2312"/>
          <w:color w:val="000000"/>
          <w:kern w:val="10"/>
          <w:sz w:val="32"/>
          <w:szCs w:val="32"/>
        </w:rPr>
        <w:t>各级环保监督检查发现存在不符合告知承诺制或环评文件存在重大质量问题，我局将撤销许可决定，由此造成的一切后果和经济损失均由你公司承担。</w:t>
      </w:r>
      <w:r>
        <w:rPr>
          <w:rFonts w:eastAsia="仿宋_GB2312"/>
          <w:color w:val="000000"/>
          <w:kern w:val="10"/>
          <w:sz w:val="32"/>
          <w:szCs w:val="32"/>
        </w:rPr>
        <w:t xml:space="preserve">       </w:t>
      </w:r>
    </w:p>
    <w:p>
      <w:pPr>
        <w:pStyle w:val="2"/>
        <w:keepNext w:val="0"/>
        <w:keepLines w:val="0"/>
        <w:pageBreakBefore w:val="0"/>
        <w:widowControl w:val="0"/>
        <w:kinsoku/>
        <w:wordWrap/>
        <w:overflowPunct/>
        <w:topLinePunct w:val="0"/>
        <w:bidi w:val="0"/>
        <w:snapToGrid/>
        <w:spacing w:line="540" w:lineRule="exact"/>
        <w:textAlignment w:val="auto"/>
        <w:rPr>
          <w:rFonts w:hint="eastAsia"/>
        </w:rPr>
      </w:pPr>
    </w:p>
    <w:p>
      <w:pPr>
        <w:keepNext w:val="0"/>
        <w:keepLines w:val="0"/>
        <w:pageBreakBefore w:val="0"/>
        <w:widowControl w:val="0"/>
        <w:tabs>
          <w:tab w:val="left" w:pos="7770"/>
        </w:tabs>
        <w:kinsoku/>
        <w:wordWrap/>
        <w:overflowPunct/>
        <w:topLinePunct w:val="0"/>
        <w:autoSpaceDE/>
        <w:autoSpaceDN/>
        <w:bidi w:val="0"/>
        <w:adjustRightInd/>
        <w:snapToGrid/>
        <w:spacing w:line="540" w:lineRule="exact"/>
        <w:ind w:firstLine="4480" w:firstLineChars="1400"/>
        <w:textAlignment w:val="auto"/>
        <w:rPr>
          <w:rFonts w:eastAsia="仿宋_GB2312"/>
          <w:color w:val="000000"/>
          <w:kern w:val="10"/>
          <w:sz w:val="32"/>
          <w:szCs w:val="32"/>
        </w:rPr>
      </w:pPr>
      <w:r>
        <w:rPr>
          <w:rFonts w:hint="eastAsia" w:eastAsia="仿宋_GB2312"/>
          <w:color w:val="000000"/>
          <w:kern w:val="10"/>
          <w:sz w:val="32"/>
          <w:szCs w:val="32"/>
        </w:rPr>
        <w:t>六安市金寨县生态环境分局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eastAsia="仿宋_GB2312"/>
          <w:kern w:val="10"/>
          <w:sz w:val="32"/>
          <w:szCs w:val="32"/>
        </w:rPr>
        <w:t xml:space="preserve">               </w:t>
      </w:r>
      <w:bookmarkStart w:id="0" w:name="_GoBack"/>
      <w:bookmarkEnd w:id="0"/>
      <w:r>
        <w:rPr>
          <w:rFonts w:eastAsia="仿宋_GB2312"/>
          <w:kern w:val="10"/>
          <w:sz w:val="32"/>
          <w:szCs w:val="32"/>
        </w:rPr>
        <w:t xml:space="preserve">                   </w:t>
      </w:r>
      <w:r>
        <w:rPr>
          <w:rFonts w:eastAsia="仿宋_GB2312"/>
          <w:spacing w:val="-8"/>
          <w:kern w:val="10"/>
          <w:sz w:val="32"/>
          <w:szCs w:val="32"/>
        </w:rPr>
        <w:t>2022</w:t>
      </w:r>
      <w:r>
        <w:rPr>
          <w:rFonts w:hint="eastAsia" w:eastAsia="仿宋_GB2312"/>
          <w:spacing w:val="-8"/>
          <w:kern w:val="10"/>
          <w:sz w:val="32"/>
          <w:szCs w:val="32"/>
        </w:rPr>
        <w:t>年</w:t>
      </w:r>
      <w:r>
        <w:rPr>
          <w:rFonts w:hint="eastAsia" w:eastAsia="仿宋_GB2312"/>
          <w:kern w:val="10"/>
          <w:sz w:val="32"/>
          <w:szCs w:val="32"/>
          <w:lang w:val="en-US" w:eastAsia="zh-CN"/>
        </w:rPr>
        <w:t>12</w:t>
      </w:r>
      <w:r>
        <w:rPr>
          <w:rFonts w:hint="eastAsia" w:eastAsia="仿宋_GB2312"/>
          <w:kern w:val="10"/>
          <w:sz w:val="32"/>
          <w:szCs w:val="32"/>
        </w:rPr>
        <w:t>月</w:t>
      </w:r>
      <w:r>
        <w:rPr>
          <w:rFonts w:hint="eastAsia" w:eastAsia="仿宋_GB2312"/>
          <w:kern w:val="10"/>
          <w:sz w:val="32"/>
          <w:szCs w:val="32"/>
          <w:lang w:val="en-US" w:eastAsia="zh-CN"/>
        </w:rPr>
        <w:t>12</w:t>
      </w:r>
      <w:r>
        <w:rPr>
          <w:rFonts w:hint="eastAsia" w:eastAsia="仿宋_GB2312"/>
          <w:kern w:val="10"/>
          <w:sz w:val="32"/>
          <w:szCs w:val="32"/>
        </w:rPr>
        <w:t>日</w:t>
      </w:r>
    </w:p>
    <w:p>
      <w:pPr>
        <w:pStyle w:val="2"/>
        <w:keepNext w:val="0"/>
        <w:keepLines w:val="0"/>
        <w:pageBreakBefore w:val="0"/>
        <w:widowControl w:val="0"/>
        <w:kinsoku/>
        <w:wordWrap/>
        <w:overflowPunct/>
        <w:topLinePunct w:val="0"/>
        <w:bidi w:val="0"/>
        <w:snapToGrid/>
        <w:spacing w:line="400" w:lineRule="exact"/>
        <w:textAlignment w:val="auto"/>
        <w:rPr>
          <w:rFonts w:hint="eastAsia"/>
        </w:rPr>
      </w:pPr>
    </w:p>
    <w:p>
      <w:pPr>
        <w:keepNext w:val="0"/>
        <w:keepLines w:val="0"/>
        <w:pageBreakBefore w:val="0"/>
        <w:widowControl w:val="0"/>
        <w:pBdr>
          <w:top w:val="single" w:color="auto" w:sz="6" w:space="1"/>
          <w:bottom w:val="single" w:color="auto" w:sz="6" w:space="1"/>
        </w:pBdr>
        <w:kinsoku/>
        <w:wordWrap/>
        <w:overflowPunct/>
        <w:topLinePunct w:val="0"/>
        <w:bidi w:val="0"/>
        <w:snapToGrid/>
        <w:spacing w:line="400" w:lineRule="exact"/>
        <w:textAlignment w:val="auto"/>
        <w:rPr>
          <w:rFonts w:eastAsia="仿宋_GB2312"/>
          <w:kern w:val="10"/>
          <w:sz w:val="28"/>
          <w:szCs w:val="28"/>
        </w:rPr>
      </w:pPr>
      <w:r>
        <w:rPr>
          <w:rFonts w:hint="eastAsia" w:eastAsia="仿宋_GB2312"/>
          <w:kern w:val="10"/>
          <w:sz w:val="28"/>
          <w:szCs w:val="28"/>
        </w:rPr>
        <w:t xml:space="preserve"> </w:t>
      </w:r>
      <w:r>
        <w:rPr>
          <w:rFonts w:eastAsia="仿宋_GB2312"/>
          <w:kern w:val="10"/>
          <w:sz w:val="28"/>
          <w:szCs w:val="28"/>
        </w:rPr>
        <w:t xml:space="preserve"> 抄：</w:t>
      </w:r>
      <w:r>
        <w:rPr>
          <w:rFonts w:hint="eastAsia" w:eastAsia="仿宋_GB2312"/>
          <w:kern w:val="10"/>
          <w:sz w:val="28"/>
          <w:szCs w:val="28"/>
          <w:lang w:val="en-US" w:eastAsia="zh-CN"/>
        </w:rPr>
        <w:t>环评单位</w:t>
      </w:r>
      <w:r>
        <w:rPr>
          <w:rFonts w:eastAsia="仿宋_GB2312"/>
          <w:kern w:val="10"/>
          <w:sz w:val="28"/>
          <w:szCs w:val="28"/>
        </w:rPr>
        <w:t>。</w:t>
      </w:r>
    </w:p>
    <w:p>
      <w:pPr>
        <w:keepNext w:val="0"/>
        <w:keepLines w:val="0"/>
        <w:pageBreakBefore w:val="0"/>
        <w:widowControl w:val="0"/>
        <w:pBdr>
          <w:bottom w:val="single" w:color="auto" w:sz="6" w:space="1"/>
          <w:between w:val="single" w:color="auto" w:sz="6" w:space="1"/>
        </w:pBdr>
        <w:kinsoku/>
        <w:wordWrap/>
        <w:overflowPunct/>
        <w:topLinePunct w:val="0"/>
        <w:bidi w:val="0"/>
        <w:snapToGrid/>
        <w:spacing w:line="400" w:lineRule="exact"/>
        <w:textAlignment w:val="auto"/>
        <w:rPr>
          <w:rFonts w:hint="eastAsia" w:eastAsia="仿宋_GB2312"/>
          <w:spacing w:val="-8"/>
          <w:kern w:val="10"/>
          <w:sz w:val="32"/>
          <w:szCs w:val="32"/>
        </w:rPr>
      </w:pPr>
      <w:r>
        <w:rPr>
          <w:rFonts w:eastAsia="仿宋_GB2312"/>
          <w:kern w:val="10"/>
          <w:sz w:val="28"/>
          <w:szCs w:val="28"/>
        </w:rPr>
        <w:t xml:space="preserve">  </w:t>
      </w:r>
      <w:r>
        <w:rPr>
          <w:rFonts w:eastAsia="仿宋_GB2312"/>
          <w:spacing w:val="-11"/>
          <w:kern w:val="10"/>
          <w:sz w:val="28"/>
          <w:szCs w:val="28"/>
        </w:rPr>
        <w:t>六安市金寨县生态环境分局</w:t>
      </w:r>
      <w:r>
        <w:rPr>
          <w:rFonts w:hint="eastAsia" w:eastAsia="仿宋_GB2312"/>
          <w:spacing w:val="-11"/>
          <w:kern w:val="10"/>
          <w:sz w:val="28"/>
          <w:szCs w:val="28"/>
          <w:lang w:val="en-US" w:eastAsia="zh-CN"/>
        </w:rPr>
        <w:t>环境监测与排放管理股</w:t>
      </w:r>
      <w:r>
        <w:rPr>
          <w:rFonts w:eastAsia="仿宋_GB2312"/>
          <w:spacing w:val="-11"/>
          <w:kern w:val="10"/>
          <w:sz w:val="28"/>
          <w:szCs w:val="28"/>
        </w:rPr>
        <w:t xml:space="preserve">  2022年</w:t>
      </w:r>
      <w:r>
        <w:rPr>
          <w:rFonts w:hint="eastAsia" w:eastAsia="仿宋_GB2312"/>
          <w:spacing w:val="-11"/>
          <w:kern w:val="10"/>
          <w:sz w:val="28"/>
          <w:szCs w:val="28"/>
          <w:lang w:val="en-US" w:eastAsia="zh-CN"/>
        </w:rPr>
        <w:t>12</w:t>
      </w:r>
      <w:r>
        <w:rPr>
          <w:rFonts w:eastAsia="仿宋_GB2312"/>
          <w:spacing w:val="-11"/>
          <w:kern w:val="10"/>
          <w:sz w:val="28"/>
          <w:szCs w:val="28"/>
        </w:rPr>
        <w:t>月</w:t>
      </w:r>
      <w:r>
        <w:rPr>
          <w:rFonts w:hint="eastAsia" w:eastAsia="仿宋_GB2312"/>
          <w:spacing w:val="-11"/>
          <w:kern w:val="10"/>
          <w:sz w:val="28"/>
          <w:szCs w:val="28"/>
          <w:lang w:val="en-US" w:eastAsia="zh-CN"/>
        </w:rPr>
        <w:t>12</w:t>
      </w:r>
      <w:r>
        <w:rPr>
          <w:rFonts w:eastAsia="仿宋_GB2312"/>
          <w:spacing w:val="-11"/>
          <w:kern w:val="10"/>
          <w:sz w:val="28"/>
          <w:szCs w:val="28"/>
        </w:rPr>
        <w:t>日印发</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- 2 -</w:t>
    </w:r>
    <w:r>
      <w:rPr>
        <w:rStyle w:val="15"/>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0C6DD"/>
    <w:multiLevelType w:val="singleLevel"/>
    <w:tmpl w:val="3600C6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wMDA0NzFiMGFjNmYzMjdjMDNiMDNkMWVmMDFjZTE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C474F5"/>
    <w:rsid w:val="0780648A"/>
    <w:rsid w:val="0818560B"/>
    <w:rsid w:val="0932499B"/>
    <w:rsid w:val="094B6B72"/>
    <w:rsid w:val="09DB0171"/>
    <w:rsid w:val="0B37090B"/>
    <w:rsid w:val="0BF927CB"/>
    <w:rsid w:val="0D496E28"/>
    <w:rsid w:val="0D8749D3"/>
    <w:rsid w:val="0F4915BF"/>
    <w:rsid w:val="0F6F59FF"/>
    <w:rsid w:val="1106543B"/>
    <w:rsid w:val="12191133"/>
    <w:rsid w:val="13E92F74"/>
    <w:rsid w:val="148D1B59"/>
    <w:rsid w:val="171B44A8"/>
    <w:rsid w:val="17393D6D"/>
    <w:rsid w:val="18C4570A"/>
    <w:rsid w:val="19542DA6"/>
    <w:rsid w:val="199E2BFC"/>
    <w:rsid w:val="1A8F255B"/>
    <w:rsid w:val="1ADD1B15"/>
    <w:rsid w:val="1B837AE5"/>
    <w:rsid w:val="1BDE230A"/>
    <w:rsid w:val="1ECE2D5A"/>
    <w:rsid w:val="1F2A29AB"/>
    <w:rsid w:val="1F896887"/>
    <w:rsid w:val="1F9D50D9"/>
    <w:rsid w:val="226452E9"/>
    <w:rsid w:val="22FC03E0"/>
    <w:rsid w:val="257614E7"/>
    <w:rsid w:val="25797DC7"/>
    <w:rsid w:val="26045E34"/>
    <w:rsid w:val="266816DC"/>
    <w:rsid w:val="284C05FC"/>
    <w:rsid w:val="28762F33"/>
    <w:rsid w:val="28B808CB"/>
    <w:rsid w:val="290628D0"/>
    <w:rsid w:val="29B70A94"/>
    <w:rsid w:val="29F10337"/>
    <w:rsid w:val="2A996019"/>
    <w:rsid w:val="2CA7585F"/>
    <w:rsid w:val="2CBA10A8"/>
    <w:rsid w:val="2CE43832"/>
    <w:rsid w:val="2E1B7F66"/>
    <w:rsid w:val="2FD24801"/>
    <w:rsid w:val="32B46586"/>
    <w:rsid w:val="32D30EDF"/>
    <w:rsid w:val="33302434"/>
    <w:rsid w:val="34437DD9"/>
    <w:rsid w:val="346E2FE8"/>
    <w:rsid w:val="356603E9"/>
    <w:rsid w:val="36A257D5"/>
    <w:rsid w:val="37024698"/>
    <w:rsid w:val="388918ED"/>
    <w:rsid w:val="39203F6A"/>
    <w:rsid w:val="3A852DBB"/>
    <w:rsid w:val="3B201EEF"/>
    <w:rsid w:val="3BD3357D"/>
    <w:rsid w:val="3C782D64"/>
    <w:rsid w:val="3CB90D7F"/>
    <w:rsid w:val="3D262A68"/>
    <w:rsid w:val="3E004139"/>
    <w:rsid w:val="3E39480C"/>
    <w:rsid w:val="3EC16DA1"/>
    <w:rsid w:val="3FC94ED0"/>
    <w:rsid w:val="3FFC028A"/>
    <w:rsid w:val="40D8229B"/>
    <w:rsid w:val="42FC2C69"/>
    <w:rsid w:val="43026189"/>
    <w:rsid w:val="457C1B3E"/>
    <w:rsid w:val="45DD3262"/>
    <w:rsid w:val="46606D15"/>
    <w:rsid w:val="46954F5C"/>
    <w:rsid w:val="46E61E1A"/>
    <w:rsid w:val="478C21E1"/>
    <w:rsid w:val="4A0957E5"/>
    <w:rsid w:val="4A4E7F19"/>
    <w:rsid w:val="4A832020"/>
    <w:rsid w:val="4B78421D"/>
    <w:rsid w:val="4B9863A8"/>
    <w:rsid w:val="4C31517C"/>
    <w:rsid w:val="4C557D69"/>
    <w:rsid w:val="4E244613"/>
    <w:rsid w:val="4E3B4781"/>
    <w:rsid w:val="4E7656B4"/>
    <w:rsid w:val="4E8E0629"/>
    <w:rsid w:val="4E8F7643"/>
    <w:rsid w:val="500D2D95"/>
    <w:rsid w:val="50370EE4"/>
    <w:rsid w:val="515A516C"/>
    <w:rsid w:val="51EB1BDA"/>
    <w:rsid w:val="520140A7"/>
    <w:rsid w:val="52552F2A"/>
    <w:rsid w:val="534360B5"/>
    <w:rsid w:val="53AB7DBC"/>
    <w:rsid w:val="54CD4CA6"/>
    <w:rsid w:val="54F20912"/>
    <w:rsid w:val="553701CB"/>
    <w:rsid w:val="555558F6"/>
    <w:rsid w:val="57576E24"/>
    <w:rsid w:val="58FC68CD"/>
    <w:rsid w:val="59FF237B"/>
    <w:rsid w:val="5ADF7095"/>
    <w:rsid w:val="5B31460E"/>
    <w:rsid w:val="5B5C7DD3"/>
    <w:rsid w:val="5B70039C"/>
    <w:rsid w:val="5CBD2290"/>
    <w:rsid w:val="5E3C53E8"/>
    <w:rsid w:val="5E421A86"/>
    <w:rsid w:val="5E8A3CAC"/>
    <w:rsid w:val="5F121B42"/>
    <w:rsid w:val="5F25294E"/>
    <w:rsid w:val="5F2D2AF7"/>
    <w:rsid w:val="60B94F1A"/>
    <w:rsid w:val="61E94E7B"/>
    <w:rsid w:val="61FD3E22"/>
    <w:rsid w:val="62465B2B"/>
    <w:rsid w:val="629C2237"/>
    <w:rsid w:val="62F738E6"/>
    <w:rsid w:val="642252DE"/>
    <w:rsid w:val="64736587"/>
    <w:rsid w:val="64847D85"/>
    <w:rsid w:val="64CD5000"/>
    <w:rsid w:val="65462637"/>
    <w:rsid w:val="66B14967"/>
    <w:rsid w:val="66B830E3"/>
    <w:rsid w:val="68620242"/>
    <w:rsid w:val="6A630604"/>
    <w:rsid w:val="6B1E13E6"/>
    <w:rsid w:val="6B905925"/>
    <w:rsid w:val="6D986A17"/>
    <w:rsid w:val="6E047C14"/>
    <w:rsid w:val="6E2A5BE1"/>
    <w:rsid w:val="6E533D98"/>
    <w:rsid w:val="6F617AE8"/>
    <w:rsid w:val="709322BD"/>
    <w:rsid w:val="719C1066"/>
    <w:rsid w:val="72792FA3"/>
    <w:rsid w:val="72EF05E5"/>
    <w:rsid w:val="747B7507"/>
    <w:rsid w:val="755A05F2"/>
    <w:rsid w:val="75921D59"/>
    <w:rsid w:val="75AD0232"/>
    <w:rsid w:val="787F0979"/>
    <w:rsid w:val="795D3046"/>
    <w:rsid w:val="79AA5641"/>
    <w:rsid w:val="7ABE33A1"/>
    <w:rsid w:val="7B4B37AC"/>
    <w:rsid w:val="7DBC6A29"/>
    <w:rsid w:val="7DC9574D"/>
    <w:rsid w:val="7E645C9B"/>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6"/>
    <w:qFormat/>
    <w:uiPriority w:val="99"/>
    <w:pPr>
      <w:keepNext/>
      <w:keepLines/>
      <w:spacing w:before="120" w:after="120"/>
      <w:ind w:firstLine="200" w:firstLineChars="200"/>
      <w:outlineLvl w:val="3"/>
    </w:pPr>
    <w:rPr>
      <w:rFonts w:ascii="宋体" w:hAnsi="Arial"/>
      <w:b/>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Body Text"/>
    <w:basedOn w:val="1"/>
    <w:next w:val="1"/>
    <w:link w:val="18"/>
    <w:qFormat/>
    <w:uiPriority w:val="99"/>
    <w:rPr>
      <w:sz w:val="24"/>
    </w:rPr>
  </w:style>
  <w:style w:type="paragraph" w:styleId="5">
    <w:name w:val="Body Text Indent"/>
    <w:basedOn w:val="1"/>
    <w:link w:val="19"/>
    <w:qFormat/>
    <w:uiPriority w:val="99"/>
    <w:pPr>
      <w:ind w:firstLine="600"/>
    </w:pPr>
    <w:rPr>
      <w:sz w:val="30"/>
    </w:rPr>
  </w:style>
  <w:style w:type="paragraph" w:styleId="6">
    <w:name w:val="Date"/>
    <w:basedOn w:val="1"/>
    <w:next w:val="1"/>
    <w:link w:val="20"/>
    <w:qFormat/>
    <w:uiPriority w:val="99"/>
    <w:pPr>
      <w:ind w:left="100" w:leftChars="2500"/>
    </w:p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1"/>
    <w:link w:val="17"/>
    <w:qFormat/>
    <w:uiPriority w:val="99"/>
    <w:pPr>
      <w:spacing w:after="120" w:line="480" w:lineRule="auto"/>
    </w:pPr>
  </w:style>
  <w:style w:type="paragraph" w:styleId="10">
    <w:name w:val="Body Text First Indent"/>
    <w:basedOn w:val="1"/>
    <w:link w:val="23"/>
    <w:qFormat/>
    <w:uiPriority w:val="99"/>
    <w:pPr>
      <w:ind w:firstLine="420" w:firstLineChars="100"/>
    </w:pPr>
  </w:style>
  <w:style w:type="paragraph" w:styleId="11">
    <w:name w:val="Body Text First Indent 2"/>
    <w:basedOn w:val="5"/>
    <w:next w:val="1"/>
    <w:link w:val="24"/>
    <w:qFormat/>
    <w:uiPriority w:val="99"/>
    <w:pPr>
      <w:ind w:firstLine="42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cs="Times New Roman"/>
    </w:rPr>
  </w:style>
  <w:style w:type="character" w:customStyle="1" w:styleId="16">
    <w:name w:val="标题 4 字符"/>
    <w:link w:val="3"/>
    <w:semiHidden/>
    <w:qFormat/>
    <w:locked/>
    <w:uiPriority w:val="99"/>
    <w:rPr>
      <w:rFonts w:ascii="Cambria" w:hAnsi="Cambria" w:eastAsia="宋体" w:cs="Times New Roman"/>
      <w:b/>
      <w:bCs/>
      <w:kern w:val="2"/>
      <w:sz w:val="28"/>
      <w:szCs w:val="28"/>
    </w:rPr>
  </w:style>
  <w:style w:type="character" w:customStyle="1" w:styleId="17">
    <w:name w:val="正文文本 2 字符"/>
    <w:link w:val="9"/>
    <w:semiHidden/>
    <w:qFormat/>
    <w:locked/>
    <w:uiPriority w:val="99"/>
    <w:rPr>
      <w:rFonts w:cs="Times New Roman"/>
      <w:kern w:val="2"/>
      <w:sz w:val="24"/>
      <w:szCs w:val="24"/>
    </w:rPr>
  </w:style>
  <w:style w:type="character" w:customStyle="1" w:styleId="18">
    <w:name w:val="正文文本 字符"/>
    <w:link w:val="4"/>
    <w:semiHidden/>
    <w:qFormat/>
    <w:locked/>
    <w:uiPriority w:val="99"/>
    <w:rPr>
      <w:rFonts w:cs="Times New Roman"/>
      <w:kern w:val="2"/>
      <w:sz w:val="24"/>
      <w:szCs w:val="24"/>
    </w:rPr>
  </w:style>
  <w:style w:type="character" w:customStyle="1" w:styleId="19">
    <w:name w:val="正文文本缩进 字符"/>
    <w:link w:val="5"/>
    <w:semiHidden/>
    <w:qFormat/>
    <w:locked/>
    <w:uiPriority w:val="99"/>
    <w:rPr>
      <w:rFonts w:cs="Times New Roman"/>
      <w:kern w:val="2"/>
      <w:sz w:val="24"/>
      <w:szCs w:val="24"/>
    </w:rPr>
  </w:style>
  <w:style w:type="character" w:customStyle="1" w:styleId="20">
    <w:name w:val="日期 字符"/>
    <w:link w:val="6"/>
    <w:semiHidden/>
    <w:qFormat/>
    <w:locked/>
    <w:uiPriority w:val="99"/>
    <w:rPr>
      <w:rFonts w:cs="Times New Roman"/>
      <w:kern w:val="2"/>
      <w:sz w:val="24"/>
      <w:szCs w:val="24"/>
    </w:rPr>
  </w:style>
  <w:style w:type="character" w:customStyle="1" w:styleId="21">
    <w:name w:val="页脚 字符"/>
    <w:link w:val="7"/>
    <w:semiHidden/>
    <w:qFormat/>
    <w:locked/>
    <w:uiPriority w:val="99"/>
    <w:rPr>
      <w:rFonts w:cs="Times New Roman"/>
      <w:kern w:val="2"/>
      <w:sz w:val="18"/>
      <w:szCs w:val="18"/>
    </w:rPr>
  </w:style>
  <w:style w:type="character" w:customStyle="1" w:styleId="22">
    <w:name w:val="页眉 字符"/>
    <w:link w:val="8"/>
    <w:semiHidden/>
    <w:qFormat/>
    <w:locked/>
    <w:uiPriority w:val="99"/>
    <w:rPr>
      <w:rFonts w:cs="Times New Roman"/>
      <w:kern w:val="2"/>
      <w:sz w:val="18"/>
      <w:szCs w:val="18"/>
    </w:rPr>
  </w:style>
  <w:style w:type="character" w:customStyle="1" w:styleId="23">
    <w:name w:val="正文文本首行缩进 字符"/>
    <w:link w:val="10"/>
    <w:semiHidden/>
    <w:qFormat/>
    <w:locked/>
    <w:uiPriority w:val="99"/>
    <w:rPr>
      <w:rFonts w:cs="Times New Roman"/>
      <w:kern w:val="2"/>
      <w:sz w:val="24"/>
      <w:szCs w:val="24"/>
    </w:rPr>
  </w:style>
  <w:style w:type="character" w:customStyle="1" w:styleId="24">
    <w:name w:val="正文文本首行缩进 2 字符"/>
    <w:link w:val="11"/>
    <w:semiHidden/>
    <w:qFormat/>
    <w:locked/>
    <w:uiPriority w:val="99"/>
    <w:rPr>
      <w:rFonts w:cs="Times New Roman"/>
      <w:kern w:val="2"/>
      <w:sz w:val="24"/>
      <w:szCs w:val="24"/>
    </w:rPr>
  </w:style>
  <w:style w:type="character" w:customStyle="1" w:styleId="25">
    <w:name w:val="apple-converted-space"/>
    <w:qFormat/>
    <w:uiPriority w:val="99"/>
    <w:rPr>
      <w:rFonts w:cs="Times New Roman"/>
    </w:rPr>
  </w:style>
  <w:style w:type="paragraph" w:customStyle="1" w:styleId="26">
    <w:name w:val="Char"/>
    <w:basedOn w:val="1"/>
    <w:qFormat/>
    <w:uiPriority w:val="99"/>
  </w:style>
  <w:style w:type="paragraph" w:customStyle="1" w:styleId="27">
    <w:name w:val="Char Char Char1 Char"/>
    <w:basedOn w:val="1"/>
    <w:qFormat/>
    <w:uiPriority w:val="99"/>
  </w:style>
  <w:style w:type="paragraph" w:customStyle="1" w:styleId="28">
    <w:name w:val="1正文段落"/>
    <w:basedOn w:val="1"/>
    <w:qFormat/>
    <w:uiPriority w:val="99"/>
    <w:pPr>
      <w:spacing w:line="360" w:lineRule="auto"/>
      <w:ind w:firstLine="480" w:firstLineChars="200"/>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938</Words>
  <Characters>1026</Characters>
  <Lines>7</Lines>
  <Paragraphs>2</Paragraphs>
  <TotalTime>1</TotalTime>
  <ScaleCrop>false</ScaleCrop>
  <LinksUpToDate>false</LinksUpToDate>
  <CharactersWithSpaces>5787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2022-12-12T10:26:47Z</dcterms:modified>
  <dc:title>金环管[2012]13号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31E2CF11CE5D4D31B4E05FD09F032E0B</vt:lpwstr>
  </property>
  <property fmtid="{D5CDD505-2E9C-101B-9397-08002B2CF9AE}" pid="4" name="commondata">
    <vt:lpwstr>eyJoZGlkIjoiNjcwMDA0NzFiMGFjNmYzMjdjMDNiMDNkMWVmMDFjZTEifQ==</vt:lpwstr>
  </property>
</Properties>
</file>