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6" w:lineRule="exact"/>
        <w:rPr>
          <w:rFonts w:eastAsia="仿宋_GB2312"/>
          <w:sz w:val="32"/>
          <w:szCs w:val="32"/>
        </w:rPr>
      </w:pPr>
    </w:p>
    <w:p>
      <w:pPr>
        <w:spacing w:line="526" w:lineRule="exact"/>
        <w:rPr>
          <w:rFonts w:eastAsia="仿宋_GB2312"/>
          <w:sz w:val="32"/>
          <w:szCs w:val="32"/>
        </w:rPr>
      </w:pPr>
    </w:p>
    <w:p>
      <w:pPr>
        <w:spacing w:line="526" w:lineRule="exact"/>
        <w:rPr>
          <w:rFonts w:eastAsia="仿宋_GB2312"/>
          <w:sz w:val="32"/>
          <w:szCs w:val="32"/>
        </w:rPr>
      </w:pPr>
    </w:p>
    <w:p>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w:t>
      </w: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val="en-US" w:eastAsia="zh-CN"/>
        </w:rPr>
        <w:t>49</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六安市金寨县生态环境分局关于六安红宇铝业有限公司车辆配件、电子散热器生产</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项目环境影响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color w:val="000000"/>
          <w:kern w:val="10"/>
          <w:sz w:val="32"/>
          <w:szCs w:val="32"/>
        </w:rPr>
      </w:pPr>
      <w:r>
        <w:rPr>
          <w:rFonts w:hint="eastAsia" w:eastAsia="仿宋_GB2312"/>
          <w:color w:val="000000"/>
          <w:kern w:val="10"/>
          <w:sz w:val="32"/>
          <w:szCs w:val="32"/>
        </w:rPr>
        <w:t>六安红宇铝业有限公司 ：</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val="zh-CN"/>
        </w:rPr>
        <w:t>六安红宇铝业有限公司车辆配件、电子散热器生产项目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 xml:space="preserve">代码：2112-341524-04-01-221311 </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eastAsia="仿宋_GB2312"/>
          <w:color w:val="000000"/>
          <w:kern w:val="10"/>
          <w:sz w:val="32"/>
          <w:szCs w:val="32"/>
          <w:lang w:val="en-US" w:eastAsia="zh-CN"/>
        </w:rPr>
        <w:t>租赁安徽</w:t>
      </w:r>
      <w:r>
        <w:rPr>
          <w:rFonts w:hint="default" w:eastAsia="仿宋_GB2312"/>
          <w:color w:val="000000"/>
          <w:kern w:val="10"/>
          <w:sz w:val="32"/>
          <w:szCs w:val="32"/>
        </w:rPr>
        <w:t>金寨经济开发区</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现代产业园区</w:t>
      </w:r>
      <w:r>
        <w:rPr>
          <w:rFonts w:hint="eastAsia" w:eastAsia="仿宋_GB2312"/>
          <w:color w:val="000000"/>
          <w:kern w:val="10"/>
          <w:sz w:val="32"/>
          <w:szCs w:val="32"/>
          <w:lang w:eastAsia="zh-CN"/>
        </w:rPr>
        <w:t>）梅山湖路以西、人民路以北安徽中环晶研新材料有限公司</w:t>
      </w:r>
      <w:r>
        <w:rPr>
          <w:rFonts w:hint="eastAsia" w:eastAsia="仿宋_GB2312"/>
          <w:color w:val="000000"/>
          <w:kern w:val="10"/>
          <w:sz w:val="32"/>
          <w:szCs w:val="32"/>
          <w:lang w:val="en-US" w:eastAsia="zh-CN"/>
        </w:rPr>
        <w:t>现有5#闲置</w:t>
      </w:r>
      <w:r>
        <w:rPr>
          <w:rFonts w:hint="eastAsia" w:eastAsia="仿宋_GB2312"/>
          <w:color w:val="000000"/>
          <w:kern w:val="10"/>
          <w:sz w:val="32"/>
          <w:szCs w:val="32"/>
          <w:lang w:eastAsia="zh-CN"/>
        </w:rPr>
        <w:t>厂房，</w:t>
      </w:r>
      <w:r>
        <w:rPr>
          <w:rFonts w:hint="eastAsia" w:eastAsia="仿宋_GB2312"/>
          <w:color w:val="000000"/>
          <w:kern w:val="10"/>
          <w:sz w:val="32"/>
          <w:szCs w:val="32"/>
          <w:lang w:val="en-US" w:eastAsia="zh-CN"/>
        </w:rPr>
        <w:t>建筑面积6500平方米</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主体工程设置压铸区、切边区、抛丸区、电泳区、喷塑区，购置压铸机、油压切边机、数控车床、抛丸机等相关生产设备，</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辅助、储运、公用以及</w:t>
      </w:r>
      <w:r>
        <w:rPr>
          <w:rFonts w:hint="eastAsia" w:eastAsia="仿宋_GB2312"/>
          <w:color w:val="000000"/>
          <w:kern w:val="10"/>
          <w:sz w:val="32"/>
          <w:szCs w:val="32"/>
        </w:rPr>
        <w:t>环保工程</w:t>
      </w:r>
      <w:r>
        <w:rPr>
          <w:rFonts w:eastAsia="仿宋_GB2312"/>
          <w:color w:val="000000"/>
          <w:kern w:val="10"/>
          <w:sz w:val="32"/>
          <w:szCs w:val="32"/>
        </w:rPr>
        <w:t>。项目总投资约</w:t>
      </w:r>
      <w:r>
        <w:rPr>
          <w:rFonts w:hint="eastAsia" w:eastAsia="仿宋_GB2312"/>
          <w:color w:val="000000"/>
          <w:kern w:val="10"/>
          <w:sz w:val="32"/>
          <w:szCs w:val="32"/>
          <w:lang w:val="en-US" w:eastAsia="zh-CN"/>
        </w:rPr>
        <w:t>12000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400</w:t>
      </w:r>
      <w:r>
        <w:rPr>
          <w:rFonts w:eastAsia="仿宋_GB2312"/>
          <w:color w:val="000000"/>
          <w:kern w:val="10"/>
          <w:sz w:val="32"/>
          <w:szCs w:val="32"/>
        </w:rPr>
        <w:t>万元</w:t>
      </w:r>
      <w:r>
        <w:rPr>
          <w:rFonts w:hint="eastAsia" w:eastAsia="仿宋_GB2312"/>
          <w:color w:val="000000"/>
          <w:kern w:val="10"/>
          <w:sz w:val="32"/>
          <w:szCs w:val="32"/>
        </w:rPr>
        <w:t>，</w:t>
      </w:r>
      <w:r>
        <w:rPr>
          <w:rFonts w:eastAsia="仿宋_GB2312"/>
          <w:color w:val="000000"/>
          <w:kern w:val="10"/>
          <w:sz w:val="32"/>
          <w:szCs w:val="32"/>
        </w:rPr>
        <w:t>建成后可形成</w:t>
      </w:r>
      <w:r>
        <w:rPr>
          <w:rFonts w:hint="eastAsia" w:eastAsia="仿宋_GB2312"/>
          <w:color w:val="000000"/>
          <w:kern w:val="10"/>
          <w:sz w:val="32"/>
          <w:szCs w:val="32"/>
          <w:lang w:eastAsia="zh-CN"/>
        </w:rPr>
        <w:t>年产车辆配件2000万件、电子散热器3000万件</w:t>
      </w:r>
      <w:r>
        <w:rPr>
          <w:rFonts w:eastAsia="仿宋_GB2312"/>
          <w:color w:val="000000"/>
          <w:kern w:val="10"/>
          <w:sz w:val="32"/>
          <w:szCs w:val="32"/>
        </w:rPr>
        <w:t>的生产能力。</w:t>
      </w:r>
      <w:r>
        <w:rPr>
          <w:rFonts w:hint="eastAsia" w:eastAsia="仿宋_GB2312"/>
          <w:color w:val="000000"/>
          <w:kern w:val="10"/>
          <w:sz w:val="32"/>
          <w:szCs w:val="32"/>
          <w:lang w:val="en-US" w:eastAsia="zh-CN"/>
        </w:rPr>
        <w:t xml:space="preserve">                                                                                                                                                                                                                                                                                                                                                                                                                                                                                                                                                                                                                                                                                                                                                                                                                                                                                                                                                                                                                                                                                                                                                                                                                                                                                                                                                                                                                                                                                                                                                                                                                                                                                                                                                                                                                                                                                                                                                                                                                                                                                                                                                                                                                                                                                                                                                                                                                                                                                                                                                                                                                                                                                                                                                                                                                                                                                                                                                                                                                                                                                                                                                                                                                                                                                                                                                                                                                                                                                                                                                                                                                                                                                                                                                                                                                                                                                                                                                                                                                                                                                                                                                                                                                </w:t>
      </w:r>
      <w:r>
        <w:rPr>
          <w:rFonts w:hint="eastAsia" w:eastAsia="仿宋_GB2312"/>
          <w:color w:val="000000"/>
          <w:kern w:val="1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该项目符合建设项目环境影响评价文件告知承诺审批的相关要求。根据《环境影响评价法》、《安徽省生态环境厅关于强化生态环境保障和服务助力稳经济若干措施的通知》（皖环发〔2022〕34 号）等有关规定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一、经你公司和环评编制单位承诺，我分局原则同意该项目《报告表》结论以及提出的污染防治措施。你公司应严格落实《报告表》提出的各项环境污染防治措施和承诺的相关内容，严格执行环保污染防治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投产的环保“三同时”制度，编制突发环境事故应急预案并定期演练，确保各项污染物达标排放、危险废物规范处置、污染物总量符合核定指标、各项环境风险可控。</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二、项目投产前，</w:t>
      </w:r>
      <w:r>
        <w:rPr>
          <w:rFonts w:hint="eastAsia" w:eastAsia="仿宋_GB2312"/>
          <w:color w:val="000000"/>
          <w:kern w:val="10"/>
          <w:sz w:val="32"/>
          <w:szCs w:val="32"/>
        </w:rPr>
        <w:t>应按规定程序完成排污许可证申领、竣工环境保护验收工作，并将相关信息对社会公开。</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三、</w:t>
      </w:r>
      <w:r>
        <w:rPr>
          <w:rFonts w:hint="eastAsia" w:eastAsia="仿宋_GB2312"/>
          <w:color w:val="000000"/>
          <w:kern w:val="10"/>
          <w:sz w:val="32"/>
          <w:szCs w:val="32"/>
        </w:rPr>
        <w:t>建设项目的</w:t>
      </w:r>
      <w:r>
        <w:rPr>
          <w:rFonts w:hint="eastAsia" w:eastAsia="仿宋_GB2312"/>
          <w:color w:val="000000"/>
          <w:kern w:val="10"/>
          <w:sz w:val="32"/>
          <w:szCs w:val="32"/>
          <w:lang w:val="en-US" w:eastAsia="zh-CN"/>
        </w:rPr>
        <w:t>性质、</w:t>
      </w:r>
      <w:r>
        <w:rPr>
          <w:rFonts w:hint="eastAsia" w:eastAsia="仿宋_GB2312"/>
          <w:color w:val="000000"/>
          <w:kern w:val="10"/>
          <w:sz w:val="32"/>
          <w:szCs w:val="32"/>
        </w:rPr>
        <w:t>规模、地点、工艺或者污染防治措施发生重大变动时，应当重新报批环境影响评价文件。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四、</w:t>
      </w:r>
      <w:r>
        <w:rPr>
          <w:rFonts w:hint="eastAsia" w:eastAsia="仿宋_GB2312"/>
          <w:color w:val="000000"/>
          <w:kern w:val="10"/>
          <w:sz w:val="32"/>
          <w:szCs w:val="32"/>
        </w:rPr>
        <w:t>请县生态环境保护综合行政执法大队、经济开发区生态环境工作站对</w:t>
      </w:r>
      <w:r>
        <w:rPr>
          <w:rFonts w:hint="eastAsia" w:eastAsia="仿宋_GB2312"/>
          <w:color w:val="000000"/>
          <w:kern w:val="10"/>
          <w:sz w:val="32"/>
          <w:szCs w:val="32"/>
          <w:lang w:val="zh-CN"/>
        </w:rPr>
        <w:t>六安红宇铝业有限公司车辆配件、电子散热器生产项目</w:t>
      </w:r>
      <w:r>
        <w:rPr>
          <w:rFonts w:hint="eastAsia" w:eastAsia="仿宋_GB2312"/>
          <w:color w:val="000000"/>
          <w:kern w:val="10"/>
          <w:sz w:val="32"/>
          <w:szCs w:val="32"/>
        </w:rPr>
        <w:t>加强现场监管。</w:t>
      </w:r>
      <w:r>
        <w:rPr>
          <w:rFonts w:eastAsia="仿宋_GB2312"/>
          <w:color w:val="000000"/>
          <w:kern w:val="10"/>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eastAsia="仿宋_GB2312"/>
          <w:color w:val="000000"/>
          <w:kern w:val="10"/>
          <w:sz w:val="32"/>
          <w:szCs w:val="32"/>
          <w:lang w:val="en-US" w:eastAsia="zh-CN"/>
        </w:rPr>
        <w:t>五、</w:t>
      </w:r>
      <w:r>
        <w:rPr>
          <w:rFonts w:hint="eastAsia" w:eastAsia="仿宋_GB2312"/>
          <w:color w:val="000000"/>
          <w:kern w:val="10"/>
          <w:sz w:val="32"/>
          <w:szCs w:val="32"/>
          <w:lang w:eastAsia="zh-CN"/>
        </w:rPr>
        <w:t>若</w:t>
      </w:r>
      <w:r>
        <w:rPr>
          <w:rFonts w:hint="eastAsia" w:eastAsia="仿宋_GB2312"/>
          <w:color w:val="000000"/>
          <w:kern w:val="10"/>
          <w:sz w:val="32"/>
          <w:szCs w:val="32"/>
        </w:rPr>
        <w:t>发现存在不符合告知承诺制或环评文件存在重大质量问题，我局将撤销许可决定，由此造成的一切后果和经济损失均由你公司承担。</w:t>
      </w:r>
      <w:r>
        <w:rPr>
          <w:rFonts w:eastAsia="仿宋_GB2312"/>
          <w:color w:val="000000"/>
          <w:kern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keepNext w:val="0"/>
        <w:keepLines w:val="0"/>
        <w:pageBreakBefore w:val="0"/>
        <w:widowControl w:val="0"/>
        <w:tabs>
          <w:tab w:val="left" w:pos="7770"/>
        </w:tabs>
        <w:kinsoku/>
        <w:wordWrap/>
        <w:overflowPunct/>
        <w:topLinePunct w:val="0"/>
        <w:autoSpaceDE/>
        <w:autoSpaceDN/>
        <w:bidi w:val="0"/>
        <w:adjustRightInd/>
        <w:snapToGrid/>
        <w:spacing w:line="560" w:lineRule="exact"/>
        <w:ind w:firstLine="4480" w:firstLineChars="1400"/>
        <w:textAlignment w:val="auto"/>
        <w:rPr>
          <w:rFonts w:eastAsia="仿宋_GB2312"/>
          <w:color w:val="000000"/>
          <w:kern w:val="10"/>
          <w:sz w:val="32"/>
          <w:szCs w:val="32"/>
        </w:rPr>
      </w:pPr>
      <w:r>
        <w:rPr>
          <w:rFonts w:hint="eastAsia" w:eastAsia="仿宋_GB2312"/>
          <w:color w:val="000000"/>
          <w:kern w:val="10"/>
          <w:sz w:val="32"/>
          <w:szCs w:val="32"/>
        </w:rPr>
        <w:t>六安市金寨县生态环境分局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8"/>
          <w:kern w:val="10"/>
          <w:sz w:val="32"/>
          <w:szCs w:val="32"/>
        </w:rPr>
      </w:pPr>
      <w:r>
        <w:rPr>
          <w:rFonts w:eastAsia="仿宋_GB2312"/>
          <w:kern w:val="10"/>
          <w:sz w:val="32"/>
          <w:szCs w:val="32"/>
        </w:rPr>
        <w:t xml:space="preserve">                                  </w:t>
      </w:r>
      <w:r>
        <w:rPr>
          <w:rFonts w:eastAsia="仿宋_GB2312"/>
          <w:spacing w:val="-8"/>
          <w:kern w:val="10"/>
          <w:sz w:val="32"/>
          <w:szCs w:val="32"/>
        </w:rPr>
        <w:t>202</w:t>
      </w:r>
      <w:r>
        <w:rPr>
          <w:rFonts w:hint="eastAsia" w:eastAsia="仿宋_GB2312"/>
          <w:spacing w:val="-8"/>
          <w:kern w:val="10"/>
          <w:sz w:val="32"/>
          <w:szCs w:val="32"/>
          <w:lang w:val="en-US" w:eastAsia="zh-CN"/>
        </w:rPr>
        <w:t>3</w:t>
      </w:r>
      <w:r>
        <w:rPr>
          <w:rFonts w:hint="eastAsia" w:eastAsia="仿宋_GB2312"/>
          <w:spacing w:val="-8"/>
          <w:kern w:val="10"/>
          <w:sz w:val="32"/>
          <w:szCs w:val="32"/>
        </w:rPr>
        <w:t>年</w:t>
      </w:r>
      <w:r>
        <w:rPr>
          <w:rFonts w:hint="eastAsia" w:eastAsia="仿宋_GB2312"/>
          <w:kern w:val="10"/>
          <w:sz w:val="32"/>
          <w:szCs w:val="32"/>
          <w:lang w:val="en-US" w:eastAsia="zh-CN"/>
        </w:rPr>
        <w:t>7</w:t>
      </w:r>
      <w:r>
        <w:rPr>
          <w:rFonts w:hint="eastAsia" w:eastAsia="仿宋_GB2312"/>
          <w:kern w:val="10"/>
          <w:sz w:val="32"/>
          <w:szCs w:val="32"/>
        </w:rPr>
        <w:t>月</w:t>
      </w:r>
      <w:r>
        <w:rPr>
          <w:rFonts w:hint="eastAsia" w:eastAsia="仿宋_GB2312"/>
          <w:kern w:val="10"/>
          <w:sz w:val="32"/>
          <w:szCs w:val="32"/>
          <w:lang w:val="en-US" w:eastAsia="zh-CN"/>
        </w:rPr>
        <w:t>12</w:t>
      </w:r>
      <w:r>
        <w:rPr>
          <w:rFonts w:hint="eastAsia" w:eastAsia="仿宋_GB2312"/>
          <w:kern w:val="10"/>
          <w:sz w:val="32"/>
          <w:szCs w:val="32"/>
        </w:rPr>
        <w:t>日</w:t>
      </w:r>
    </w:p>
    <w:p>
      <w:pPr>
        <w:pStyle w:val="16"/>
        <w:rPr>
          <w:rFonts w:hint="eastAsia"/>
        </w:rPr>
      </w:pPr>
    </w:p>
    <w:p>
      <w:pPr>
        <w:pStyle w:val="16"/>
        <w:rPr>
          <w:rFonts w:hint="eastAsia"/>
        </w:rPr>
      </w:pPr>
    </w:p>
    <w:p>
      <w:pPr>
        <w:pStyle w:val="16"/>
        <w:rPr>
          <w:rFonts w:hint="eastAsia"/>
        </w:rPr>
      </w:pPr>
    </w:p>
    <w:p>
      <w:pPr>
        <w:keepNext w:val="0"/>
        <w:keepLines w:val="0"/>
        <w:pageBreakBefore w:val="0"/>
        <w:widowControl w:val="0"/>
        <w:pBdr>
          <w:top w:val="single" w:color="auto" w:sz="6" w:space="1"/>
          <w:bottom w:val="single" w:color="auto" w:sz="6" w:space="1"/>
        </w:pBdr>
        <w:kinsoku/>
        <w:wordWrap/>
        <w:overflowPunct/>
        <w:topLinePunct w:val="0"/>
        <w:bidi w:val="0"/>
        <w:snapToGrid/>
        <w:spacing w:line="400" w:lineRule="exact"/>
        <w:ind w:firstLine="280" w:firstLineChars="100"/>
        <w:textAlignment w:val="auto"/>
        <w:rPr>
          <w:rFonts w:eastAsia="仿宋_GB2312"/>
          <w:kern w:val="10"/>
          <w:sz w:val="28"/>
          <w:szCs w:val="28"/>
        </w:rPr>
      </w:pPr>
      <w:r>
        <w:rPr>
          <w:rFonts w:eastAsia="仿宋_GB2312"/>
          <w:kern w:val="10"/>
          <w:sz w:val="28"/>
          <w:szCs w:val="28"/>
        </w:rPr>
        <w:t>抄：</w:t>
      </w:r>
      <w:r>
        <w:rPr>
          <w:rFonts w:hint="eastAsia" w:eastAsia="仿宋_GB2312"/>
          <w:kern w:val="10"/>
          <w:sz w:val="28"/>
          <w:szCs w:val="28"/>
          <w:lang w:val="en-US" w:eastAsia="zh-CN"/>
        </w:rPr>
        <w:t>环评单位</w:t>
      </w:r>
      <w:r>
        <w:rPr>
          <w:rFonts w:eastAsia="仿宋_GB2312"/>
          <w:kern w:val="10"/>
          <w:sz w:val="28"/>
          <w:szCs w:val="28"/>
        </w:rPr>
        <w:t>。</w:t>
      </w:r>
    </w:p>
    <w:p>
      <w:pPr>
        <w:keepNext w:val="0"/>
        <w:keepLines w:val="0"/>
        <w:pageBreakBefore w:val="0"/>
        <w:widowControl w:val="0"/>
        <w:pBdr>
          <w:bottom w:val="single" w:color="auto" w:sz="6" w:space="1"/>
          <w:between w:val="single" w:color="auto" w:sz="6" w:space="1"/>
        </w:pBdr>
        <w:kinsoku/>
        <w:wordWrap/>
        <w:overflowPunct/>
        <w:topLinePunct w:val="0"/>
        <w:bidi w:val="0"/>
        <w:snapToGrid/>
        <w:spacing w:line="400" w:lineRule="exact"/>
        <w:textAlignment w:val="auto"/>
        <w:rPr>
          <w:rFonts w:hint="eastAsia" w:eastAsia="仿宋_GB2312"/>
          <w:spacing w:val="-8"/>
          <w:kern w:val="10"/>
          <w:sz w:val="32"/>
          <w:szCs w:val="32"/>
        </w:rPr>
      </w:pPr>
      <w:r>
        <w:rPr>
          <w:rFonts w:eastAsia="仿宋_GB2312"/>
          <w:kern w:val="10"/>
          <w:sz w:val="28"/>
          <w:szCs w:val="28"/>
        </w:rPr>
        <w:t xml:space="preserve">  </w:t>
      </w:r>
      <w:r>
        <w:rPr>
          <w:rFonts w:eastAsia="仿宋_GB2312"/>
          <w:spacing w:val="-11"/>
          <w:kern w:val="10"/>
          <w:sz w:val="28"/>
          <w:szCs w:val="28"/>
        </w:rPr>
        <w:t>六安市金寨县生态环境分局</w:t>
      </w:r>
      <w:r>
        <w:rPr>
          <w:rFonts w:hint="eastAsia" w:eastAsia="仿宋_GB2312"/>
          <w:spacing w:val="-11"/>
          <w:kern w:val="10"/>
          <w:sz w:val="28"/>
          <w:szCs w:val="28"/>
          <w:lang w:val="en-US" w:eastAsia="zh-CN"/>
        </w:rPr>
        <w:t xml:space="preserve">                   </w:t>
      </w:r>
      <w:r>
        <w:rPr>
          <w:rFonts w:eastAsia="仿宋_GB2312"/>
          <w:spacing w:val="-11"/>
          <w:kern w:val="10"/>
          <w:sz w:val="28"/>
          <w:szCs w:val="28"/>
        </w:rPr>
        <w:t xml:space="preserve"> </w:t>
      </w:r>
      <w:r>
        <w:rPr>
          <w:rFonts w:hint="eastAsia" w:eastAsia="仿宋_GB2312"/>
          <w:spacing w:val="-11"/>
          <w:kern w:val="10"/>
          <w:sz w:val="28"/>
          <w:szCs w:val="28"/>
          <w:lang w:val="en-US" w:eastAsia="zh-CN"/>
        </w:rPr>
        <w:t xml:space="preserve">  </w:t>
      </w:r>
      <w:r>
        <w:rPr>
          <w:rFonts w:eastAsia="仿宋_GB2312"/>
          <w:spacing w:val="-11"/>
          <w:kern w:val="10"/>
          <w:sz w:val="28"/>
          <w:szCs w:val="28"/>
        </w:rPr>
        <w:t xml:space="preserve"> 202</w:t>
      </w:r>
      <w:r>
        <w:rPr>
          <w:rFonts w:hint="eastAsia" w:eastAsia="仿宋_GB2312"/>
          <w:spacing w:val="-11"/>
          <w:kern w:val="10"/>
          <w:sz w:val="28"/>
          <w:szCs w:val="28"/>
          <w:lang w:val="en-US" w:eastAsia="zh-CN"/>
        </w:rPr>
        <w:t>3</w:t>
      </w:r>
      <w:r>
        <w:rPr>
          <w:rFonts w:eastAsia="仿宋_GB2312"/>
          <w:spacing w:val="-11"/>
          <w:kern w:val="10"/>
          <w:sz w:val="28"/>
          <w:szCs w:val="28"/>
        </w:rPr>
        <w:t>年</w:t>
      </w:r>
      <w:r>
        <w:rPr>
          <w:rFonts w:hint="eastAsia" w:eastAsia="仿宋_GB2312"/>
          <w:spacing w:val="-11"/>
          <w:kern w:val="10"/>
          <w:sz w:val="28"/>
          <w:szCs w:val="28"/>
          <w:lang w:val="en-US" w:eastAsia="zh-CN"/>
        </w:rPr>
        <w:t>7</w:t>
      </w:r>
      <w:r>
        <w:rPr>
          <w:rFonts w:eastAsia="仿宋_GB2312"/>
          <w:spacing w:val="-11"/>
          <w:kern w:val="10"/>
          <w:sz w:val="28"/>
          <w:szCs w:val="28"/>
        </w:rPr>
        <w:t>月</w:t>
      </w:r>
      <w:r>
        <w:rPr>
          <w:rFonts w:hint="eastAsia" w:eastAsia="仿宋_GB2312"/>
          <w:spacing w:val="-11"/>
          <w:kern w:val="10"/>
          <w:sz w:val="28"/>
          <w:szCs w:val="28"/>
          <w:lang w:val="en-US" w:eastAsia="zh-CN"/>
        </w:rPr>
        <w:t>12</w:t>
      </w:r>
      <w:bookmarkStart w:id="0" w:name="_GoBack"/>
      <w:bookmarkEnd w:id="0"/>
      <w:r>
        <w:rPr>
          <w:rFonts w:eastAsia="仿宋_GB2312"/>
          <w:spacing w:val="-11"/>
          <w:kern w:val="10"/>
          <w:sz w:val="28"/>
          <w:szCs w:val="28"/>
        </w:rPr>
        <w:t>日印发</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- 2 -</w:t>
    </w:r>
    <w:r>
      <w:rPr>
        <w:rStyle w:val="15"/>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wMDA0NzFiMGFjNmYzMjdjMDNiMDNkMWVmMDFjZTE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11394"/>
    <w:rsid w:val="06C474F5"/>
    <w:rsid w:val="0780648A"/>
    <w:rsid w:val="0818560B"/>
    <w:rsid w:val="0932499B"/>
    <w:rsid w:val="094B6B72"/>
    <w:rsid w:val="09DB0171"/>
    <w:rsid w:val="0B37090B"/>
    <w:rsid w:val="0BF927CB"/>
    <w:rsid w:val="0D496E28"/>
    <w:rsid w:val="0D8749D3"/>
    <w:rsid w:val="0F4915BF"/>
    <w:rsid w:val="0F6F59FF"/>
    <w:rsid w:val="100B4C95"/>
    <w:rsid w:val="1106543B"/>
    <w:rsid w:val="12191133"/>
    <w:rsid w:val="13E92F74"/>
    <w:rsid w:val="148D1B59"/>
    <w:rsid w:val="171B44A8"/>
    <w:rsid w:val="17393D6D"/>
    <w:rsid w:val="18C4570A"/>
    <w:rsid w:val="19542DA6"/>
    <w:rsid w:val="199E2BFC"/>
    <w:rsid w:val="1A8F255B"/>
    <w:rsid w:val="1ADD1B15"/>
    <w:rsid w:val="1B837AE5"/>
    <w:rsid w:val="1BDE230A"/>
    <w:rsid w:val="1ECE2D5A"/>
    <w:rsid w:val="1F2A29AB"/>
    <w:rsid w:val="1F896887"/>
    <w:rsid w:val="1F9D50D9"/>
    <w:rsid w:val="226452E9"/>
    <w:rsid w:val="22FC03E0"/>
    <w:rsid w:val="24067AE2"/>
    <w:rsid w:val="257614E7"/>
    <w:rsid w:val="25797DC7"/>
    <w:rsid w:val="26045E34"/>
    <w:rsid w:val="266816DC"/>
    <w:rsid w:val="280420A6"/>
    <w:rsid w:val="284C05FC"/>
    <w:rsid w:val="28762F33"/>
    <w:rsid w:val="28B808CB"/>
    <w:rsid w:val="290628D0"/>
    <w:rsid w:val="29B70A94"/>
    <w:rsid w:val="2A996019"/>
    <w:rsid w:val="2CA7585F"/>
    <w:rsid w:val="2CBA10A8"/>
    <w:rsid w:val="2CE43832"/>
    <w:rsid w:val="2E1B7F66"/>
    <w:rsid w:val="2FD24801"/>
    <w:rsid w:val="32D30EDF"/>
    <w:rsid w:val="33302434"/>
    <w:rsid w:val="34437DD9"/>
    <w:rsid w:val="346E2FE8"/>
    <w:rsid w:val="356603E9"/>
    <w:rsid w:val="36A257D5"/>
    <w:rsid w:val="37024698"/>
    <w:rsid w:val="388918ED"/>
    <w:rsid w:val="39203F6A"/>
    <w:rsid w:val="3A852DBB"/>
    <w:rsid w:val="3B201EEF"/>
    <w:rsid w:val="3BD3357D"/>
    <w:rsid w:val="3C782D64"/>
    <w:rsid w:val="3CB90D7F"/>
    <w:rsid w:val="3D262A68"/>
    <w:rsid w:val="3E004139"/>
    <w:rsid w:val="3E39480C"/>
    <w:rsid w:val="3EC16DA1"/>
    <w:rsid w:val="3FC94ED0"/>
    <w:rsid w:val="3FFC028A"/>
    <w:rsid w:val="40454D22"/>
    <w:rsid w:val="40D8229B"/>
    <w:rsid w:val="43026189"/>
    <w:rsid w:val="444C6ACE"/>
    <w:rsid w:val="457C1B3E"/>
    <w:rsid w:val="46606D15"/>
    <w:rsid w:val="46954F5C"/>
    <w:rsid w:val="46E61E1A"/>
    <w:rsid w:val="478C21E1"/>
    <w:rsid w:val="48733F90"/>
    <w:rsid w:val="4A4E7F19"/>
    <w:rsid w:val="4A832020"/>
    <w:rsid w:val="4B78421D"/>
    <w:rsid w:val="4B971913"/>
    <w:rsid w:val="4B9863A8"/>
    <w:rsid w:val="4BAD77B9"/>
    <w:rsid w:val="4C31517C"/>
    <w:rsid w:val="4C557D69"/>
    <w:rsid w:val="4E244613"/>
    <w:rsid w:val="4E3B4781"/>
    <w:rsid w:val="4E7656B4"/>
    <w:rsid w:val="4E8E0629"/>
    <w:rsid w:val="4E8F7643"/>
    <w:rsid w:val="500D2D95"/>
    <w:rsid w:val="50370EE4"/>
    <w:rsid w:val="515A516C"/>
    <w:rsid w:val="51EB1BDA"/>
    <w:rsid w:val="52552F2A"/>
    <w:rsid w:val="534360B5"/>
    <w:rsid w:val="53AB7DBC"/>
    <w:rsid w:val="54CD4CA6"/>
    <w:rsid w:val="553701CB"/>
    <w:rsid w:val="555558F6"/>
    <w:rsid w:val="58FC68CD"/>
    <w:rsid w:val="59FF237B"/>
    <w:rsid w:val="5ADF7095"/>
    <w:rsid w:val="5B31460E"/>
    <w:rsid w:val="5B5C7DD3"/>
    <w:rsid w:val="5B70039C"/>
    <w:rsid w:val="5CBD2290"/>
    <w:rsid w:val="5E3C53E8"/>
    <w:rsid w:val="5E421A86"/>
    <w:rsid w:val="5E8A3CAC"/>
    <w:rsid w:val="5F121B42"/>
    <w:rsid w:val="5F25294E"/>
    <w:rsid w:val="5F2D2AF7"/>
    <w:rsid w:val="60B94F1A"/>
    <w:rsid w:val="61E94E7B"/>
    <w:rsid w:val="61FD3E22"/>
    <w:rsid w:val="62465B2B"/>
    <w:rsid w:val="629C2237"/>
    <w:rsid w:val="62F738E6"/>
    <w:rsid w:val="642252DE"/>
    <w:rsid w:val="64736587"/>
    <w:rsid w:val="64847D85"/>
    <w:rsid w:val="64CD5000"/>
    <w:rsid w:val="66B14967"/>
    <w:rsid w:val="66B830E3"/>
    <w:rsid w:val="68620242"/>
    <w:rsid w:val="6A630604"/>
    <w:rsid w:val="6B1E13E6"/>
    <w:rsid w:val="6B6D6ED0"/>
    <w:rsid w:val="6B905925"/>
    <w:rsid w:val="6D986A17"/>
    <w:rsid w:val="6E047C14"/>
    <w:rsid w:val="6E2A5BE1"/>
    <w:rsid w:val="6E533D98"/>
    <w:rsid w:val="6F617AE8"/>
    <w:rsid w:val="709322BD"/>
    <w:rsid w:val="719C1066"/>
    <w:rsid w:val="72792FA3"/>
    <w:rsid w:val="72EF05E5"/>
    <w:rsid w:val="755A05F2"/>
    <w:rsid w:val="75AD0232"/>
    <w:rsid w:val="787F0979"/>
    <w:rsid w:val="795D3046"/>
    <w:rsid w:val="79AA5641"/>
    <w:rsid w:val="7ABE33A1"/>
    <w:rsid w:val="7B4B37AC"/>
    <w:rsid w:val="7DBC6A29"/>
    <w:rsid w:val="7DC9574D"/>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link w:val="17"/>
    <w:qFormat/>
    <w:uiPriority w:val="99"/>
    <w:pPr>
      <w:keepNext/>
      <w:keepLines/>
      <w:spacing w:before="120" w:after="120"/>
      <w:ind w:firstLine="200" w:firstLineChars="200"/>
      <w:outlineLvl w:val="3"/>
    </w:pPr>
    <w:rPr>
      <w:rFonts w:ascii="宋体" w:hAnsi="Arial"/>
      <w:b/>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link w:val="25"/>
    <w:qFormat/>
    <w:uiPriority w:val="99"/>
    <w:pPr>
      <w:ind w:firstLine="420"/>
    </w:pPr>
  </w:style>
  <w:style w:type="paragraph" w:styleId="3">
    <w:name w:val="Body Text Indent"/>
    <w:basedOn w:val="1"/>
    <w:next w:val="4"/>
    <w:link w:val="20"/>
    <w:qFormat/>
    <w:uiPriority w:val="99"/>
    <w:pPr>
      <w:ind w:firstLine="600"/>
    </w:pPr>
    <w:rPr>
      <w:sz w:val="30"/>
    </w:rPr>
  </w:style>
  <w:style w:type="paragraph" w:styleId="4">
    <w:name w:val="Body Text Indent 2"/>
    <w:basedOn w:val="1"/>
    <w:next w:val="2"/>
    <w:qFormat/>
    <w:locked/>
    <w:uiPriority w:val="0"/>
    <w:pPr>
      <w:widowControl w:val="0"/>
      <w:spacing w:line="500" w:lineRule="exact"/>
      <w:ind w:firstLine="573"/>
      <w:jc w:val="both"/>
    </w:pPr>
    <w:rPr>
      <w:rFonts w:ascii="Times New Roman" w:hAnsi="Times New Roman" w:eastAsia="宋体" w:cs="Times New Roman"/>
      <w:kern w:val="2"/>
      <w:sz w:val="28"/>
      <w:szCs w:val="24"/>
      <w:lang w:val="en-US" w:eastAsia="zh-CN" w:bidi="ar-SA"/>
    </w:rPr>
  </w:style>
  <w:style w:type="paragraph" w:styleId="6">
    <w:name w:val="Body Text"/>
    <w:basedOn w:val="1"/>
    <w:next w:val="1"/>
    <w:link w:val="19"/>
    <w:qFormat/>
    <w:uiPriority w:val="99"/>
    <w:rPr>
      <w:sz w:val="24"/>
    </w:rPr>
  </w:style>
  <w:style w:type="paragraph" w:styleId="7">
    <w:name w:val="Date"/>
    <w:basedOn w:val="1"/>
    <w:next w:val="1"/>
    <w:link w:val="21"/>
    <w:qFormat/>
    <w:uiPriority w:val="99"/>
    <w:pPr>
      <w:ind w:left="100" w:leftChars="2500"/>
    </w:p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next w:val="1"/>
    <w:link w:val="18"/>
    <w:qFormat/>
    <w:uiPriority w:val="99"/>
    <w:pPr>
      <w:spacing w:after="120" w:line="480" w:lineRule="auto"/>
    </w:pPr>
  </w:style>
  <w:style w:type="paragraph" w:styleId="11">
    <w:name w:val="Body Text First Indent"/>
    <w:basedOn w:val="1"/>
    <w:link w:val="24"/>
    <w:qFormat/>
    <w:uiPriority w:val="99"/>
    <w:pPr>
      <w:ind w:firstLine="420" w:firstLineChars="100"/>
    </w:p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rPr>
      <w:rFonts w:cs="Times New Roman"/>
    </w:rPr>
  </w:style>
  <w:style w:type="paragraph" w:customStyle="1" w:styleId="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标题 4 字符"/>
    <w:link w:val="5"/>
    <w:semiHidden/>
    <w:qFormat/>
    <w:locked/>
    <w:uiPriority w:val="99"/>
    <w:rPr>
      <w:rFonts w:ascii="Cambria" w:hAnsi="Cambria" w:eastAsia="宋体" w:cs="Times New Roman"/>
      <w:b/>
      <w:bCs/>
      <w:kern w:val="2"/>
      <w:sz w:val="28"/>
      <w:szCs w:val="28"/>
    </w:rPr>
  </w:style>
  <w:style w:type="character" w:customStyle="1" w:styleId="18">
    <w:name w:val="正文文本 2 字符"/>
    <w:link w:val="10"/>
    <w:semiHidden/>
    <w:qFormat/>
    <w:locked/>
    <w:uiPriority w:val="99"/>
    <w:rPr>
      <w:rFonts w:cs="Times New Roman"/>
      <w:kern w:val="2"/>
      <w:sz w:val="24"/>
      <w:szCs w:val="24"/>
    </w:rPr>
  </w:style>
  <w:style w:type="character" w:customStyle="1" w:styleId="19">
    <w:name w:val="正文文本 字符"/>
    <w:link w:val="6"/>
    <w:semiHidden/>
    <w:qFormat/>
    <w:locked/>
    <w:uiPriority w:val="99"/>
    <w:rPr>
      <w:rFonts w:cs="Times New Roman"/>
      <w:kern w:val="2"/>
      <w:sz w:val="24"/>
      <w:szCs w:val="24"/>
    </w:rPr>
  </w:style>
  <w:style w:type="character" w:customStyle="1" w:styleId="20">
    <w:name w:val="正文文本缩进 字符"/>
    <w:link w:val="3"/>
    <w:semiHidden/>
    <w:qFormat/>
    <w:locked/>
    <w:uiPriority w:val="99"/>
    <w:rPr>
      <w:rFonts w:cs="Times New Roman"/>
      <w:kern w:val="2"/>
      <w:sz w:val="24"/>
      <w:szCs w:val="24"/>
    </w:rPr>
  </w:style>
  <w:style w:type="character" w:customStyle="1" w:styleId="21">
    <w:name w:val="日期 字符"/>
    <w:link w:val="7"/>
    <w:semiHidden/>
    <w:qFormat/>
    <w:locked/>
    <w:uiPriority w:val="99"/>
    <w:rPr>
      <w:rFonts w:cs="Times New Roman"/>
      <w:kern w:val="2"/>
      <w:sz w:val="24"/>
      <w:szCs w:val="24"/>
    </w:rPr>
  </w:style>
  <w:style w:type="character" w:customStyle="1" w:styleId="22">
    <w:name w:val="页脚 字符"/>
    <w:link w:val="8"/>
    <w:semiHidden/>
    <w:qFormat/>
    <w:locked/>
    <w:uiPriority w:val="99"/>
    <w:rPr>
      <w:rFonts w:cs="Times New Roman"/>
      <w:kern w:val="2"/>
      <w:sz w:val="18"/>
      <w:szCs w:val="18"/>
    </w:rPr>
  </w:style>
  <w:style w:type="character" w:customStyle="1" w:styleId="23">
    <w:name w:val="页眉 字符"/>
    <w:link w:val="9"/>
    <w:semiHidden/>
    <w:qFormat/>
    <w:locked/>
    <w:uiPriority w:val="99"/>
    <w:rPr>
      <w:rFonts w:cs="Times New Roman"/>
      <w:kern w:val="2"/>
      <w:sz w:val="18"/>
      <w:szCs w:val="18"/>
    </w:rPr>
  </w:style>
  <w:style w:type="character" w:customStyle="1" w:styleId="24">
    <w:name w:val="正文文本首行缩进 字符"/>
    <w:link w:val="11"/>
    <w:semiHidden/>
    <w:qFormat/>
    <w:locked/>
    <w:uiPriority w:val="99"/>
    <w:rPr>
      <w:rFonts w:cs="Times New Roman"/>
      <w:kern w:val="2"/>
      <w:sz w:val="24"/>
      <w:szCs w:val="24"/>
    </w:rPr>
  </w:style>
  <w:style w:type="character" w:customStyle="1" w:styleId="25">
    <w:name w:val="正文文本首行缩进 2 字符"/>
    <w:link w:val="2"/>
    <w:semiHidden/>
    <w:qFormat/>
    <w:locked/>
    <w:uiPriority w:val="99"/>
    <w:rPr>
      <w:rFonts w:cs="Times New Roman"/>
      <w:kern w:val="2"/>
      <w:sz w:val="24"/>
      <w:szCs w:val="24"/>
    </w:rPr>
  </w:style>
  <w:style w:type="character" w:customStyle="1" w:styleId="26">
    <w:name w:val="apple-converted-space"/>
    <w:qFormat/>
    <w:uiPriority w:val="99"/>
    <w:rPr>
      <w:rFonts w:cs="Times New Roman"/>
    </w:rPr>
  </w:style>
  <w:style w:type="paragraph" w:customStyle="1" w:styleId="27">
    <w:name w:val="Char"/>
    <w:basedOn w:val="1"/>
    <w:qFormat/>
    <w:uiPriority w:val="99"/>
  </w:style>
  <w:style w:type="paragraph" w:customStyle="1" w:styleId="28">
    <w:name w:val="Char Char Char1 Char"/>
    <w:basedOn w:val="1"/>
    <w:qFormat/>
    <w:uiPriority w:val="99"/>
  </w:style>
  <w:style w:type="paragraph" w:customStyle="1" w:styleId="29">
    <w:name w:val="1正文段落"/>
    <w:basedOn w:val="1"/>
    <w:qFormat/>
    <w:uiPriority w:val="99"/>
    <w:pPr>
      <w:spacing w:line="360" w:lineRule="auto"/>
      <w:ind w:firstLine="480" w:firstLineChars="20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874</Words>
  <Characters>929</Characters>
  <Lines>7</Lines>
  <Paragraphs>2</Paragraphs>
  <TotalTime>4</TotalTime>
  <ScaleCrop>false</ScaleCrop>
  <LinksUpToDate>false</LinksUpToDate>
  <CharactersWithSpaces>5722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2021-09-06T05:38:00Z</cp:lastPrinted>
  <dcterms:modified xsi:type="dcterms:W3CDTF">2023-07-12T02:12:52Z</dcterms:modified>
  <dc:title>金环管[2012]13号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31E2CF11CE5D4D31B4E05FD09F032E0B</vt:lpwstr>
  </property>
  <property fmtid="{D5CDD505-2E9C-101B-9397-08002B2CF9AE}" pid="4" name="commondata">
    <vt:lpwstr>eyJoZGlkIjoiNjcwMDA0NzFiMGFjNmYzMjdjMDNiMDNkMWVmMDFjZTEifQ==</vt:lpwstr>
  </property>
</Properties>
</file>