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spacing w:val="0"/>
          <w:sz w:val="44"/>
          <w:szCs w:val="44"/>
          <w:bdr w:val="none" w:color="auto" w:sz="0" w:space="0"/>
          <w:shd w:val="clear" w:fill="FFFFFF"/>
        </w:rPr>
      </w:pPr>
      <w:r>
        <w:rPr>
          <w:rFonts w:hint="eastAsia" w:ascii="方正公文小标宋" w:hAnsi="方正公文小标宋" w:eastAsia="方正公文小标宋" w:cs="方正公文小标宋"/>
          <w:b w:val="0"/>
          <w:bCs w:val="0"/>
          <w:i w:val="0"/>
          <w:iCs w:val="0"/>
          <w:caps w:val="0"/>
          <w:color w:val="000000"/>
          <w:spacing w:val="0"/>
          <w:sz w:val="44"/>
          <w:szCs w:val="44"/>
          <w:bdr w:val="none" w:color="auto" w:sz="0" w:space="0"/>
          <w:shd w:val="clear" w:fill="FFFFFF"/>
        </w:rPr>
        <w:t>金寨县关庙乡2022年政府信息公开工作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方正仿宋_GBK" w:hAnsi="方正仿宋_GBK" w:eastAsia="方正仿宋_GBK" w:cs="方正仿宋_GBK"/>
          <w:i w:val="0"/>
          <w:iCs w:val="0"/>
          <w:caps w:val="0"/>
          <w:color w:val="000000"/>
          <w:spacing w:val="0"/>
          <w:sz w:val="32"/>
          <w:szCs w:val="32"/>
          <w:bdr w:val="none" w:color="auto" w:sz="0" w:space="0"/>
          <w:shd w:val="clear" w:fill="FFFFFF"/>
        </w:rPr>
      </w:pPr>
      <w:r>
        <w:rPr>
          <w:rFonts w:hint="eastAsia" w:ascii="方正公文小标宋" w:hAnsi="方正公文小标宋" w:eastAsia="方正公文小标宋" w:cs="方正公文小标宋"/>
          <w:b w:val="0"/>
          <w:bCs w:val="0"/>
          <w:i w:val="0"/>
          <w:iCs w:val="0"/>
          <w:caps w:val="0"/>
          <w:color w:val="000000"/>
          <w:spacing w:val="0"/>
          <w:sz w:val="44"/>
          <w:szCs w:val="44"/>
          <w:bdr w:val="none" w:color="auto" w:sz="0" w:space="0"/>
          <w:shd w:val="clear" w:fill="FFFFFF"/>
        </w:rPr>
        <w:t>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atLeast"/>
        <w:ind w:left="0" w:right="0" w:firstLine="640" w:firstLineChars="200"/>
        <w:jc w:val="left"/>
        <w:textAlignment w:val="auto"/>
        <w:rPr>
          <w:rFonts w:ascii="仿宋" w:hAnsi="仿宋" w:eastAsia="仿宋" w:cs="仿宋"/>
          <w:i w:val="0"/>
          <w:iCs w:val="0"/>
          <w:caps w:val="0"/>
          <w:color w:val="333333"/>
          <w:spacing w:val="0"/>
          <w:sz w:val="32"/>
          <w:szCs w:val="32"/>
        </w:rPr>
      </w:pPr>
      <w:r>
        <w:rPr>
          <w:rFonts w:ascii="方正仿宋_GBK" w:hAnsi="方正仿宋_GBK" w:eastAsia="方正仿宋_GBK" w:cs="方正仿宋_GBK"/>
          <w:i w:val="0"/>
          <w:iCs w:val="0"/>
          <w:caps w:val="0"/>
          <w:color w:val="000000"/>
          <w:spacing w:val="0"/>
          <w:sz w:val="32"/>
          <w:szCs w:val="32"/>
          <w:bdr w:val="none" w:color="auto" w:sz="0" w:space="0"/>
          <w:shd w:val="clear" w:fill="FFFFFF"/>
        </w:rPr>
        <w:t>本报告依据《中华人民共和国政府信息公开条例》（国务院令第</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711</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号，以下简称（新《条例》)、《六安市政务公开办公室关于做好</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2022</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年度政府信息公开年度报告编制和发布工作的通知》(六政务公开办〔</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2022</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w:t>
      </w:r>
      <w:r>
        <w:rPr>
          <w:rFonts w:hint="default" w:ascii="Times New Roman" w:hAnsi="Times New Roman" w:eastAsia="仿宋" w:cs="Times New Roman"/>
          <w:i w:val="0"/>
          <w:iCs w:val="0"/>
          <w:caps w:val="0"/>
          <w:color w:val="000000"/>
          <w:spacing w:val="0"/>
          <w:sz w:val="32"/>
          <w:szCs w:val="32"/>
          <w:bdr w:val="none" w:color="auto" w:sz="0" w:space="0"/>
          <w:shd w:val="clear" w:fill="FFFFFF"/>
        </w:rPr>
        <w:t>53</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号)和《金寨县政务公开办公室关于做好</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2022</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年度政府信息公开年度报告编制和发布工作的通知》（金政公开〔</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2023</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号）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2022</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年</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月</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日至</w:t>
      </w:r>
      <w:r>
        <w:rPr>
          <w:rFonts w:hint="default" w:ascii="Times New Roman" w:hAnsi="Times New Roman" w:eastAsia="仿宋" w:cs="Times New Roman"/>
          <w:i w:val="0"/>
          <w:iCs w:val="0"/>
          <w:caps w:val="0"/>
          <w:color w:val="000000"/>
          <w:spacing w:val="0"/>
          <w:sz w:val="32"/>
          <w:szCs w:val="32"/>
          <w:bdr w:val="none" w:color="auto" w:sz="0" w:space="0"/>
          <w:shd w:val="clear" w:fill="FFFFFF"/>
        </w:rPr>
        <w:t>12</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月</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31</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日，报告的电子版可在金寨县信息公开（http://www.ahjinzhai.gov.cn/public/index.html）下载。</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如对本报告有任何疑问，请与关庙乡人民政府办公室联系（地址：关庙乡人民政府一楼，电话：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7601001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，邮编：</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237374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ascii="方正黑体_GBK" w:hAnsi="方正黑体_GBK" w:eastAsia="方正黑体_GBK" w:cs="方正黑体_GBK"/>
          <w:b/>
          <w:bCs/>
          <w:i w:val="0"/>
          <w:iCs w:val="0"/>
          <w:caps w:val="0"/>
          <w:color w:val="333333"/>
          <w:spacing w:val="0"/>
          <w:sz w:val="32"/>
          <w:szCs w:val="32"/>
          <w:bdr w:val="none" w:color="auto" w:sz="0" w:space="0"/>
          <w:shd w:val="clear" w:fill="FFFFFF"/>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atLeast"/>
        <w:ind w:left="0" w:right="0" w:firstLine="640" w:firstLineChars="200"/>
        <w:jc w:val="left"/>
        <w:textAlignment w:val="auto"/>
        <w:rPr>
          <w:rFonts w:hint="eastAsia" w:ascii="宋体" w:hAnsi="宋体" w:eastAsia="宋体" w:cs="宋体"/>
          <w:i w:val="0"/>
          <w:iCs w:val="0"/>
          <w:caps w:val="0"/>
          <w:color w:val="333333"/>
          <w:spacing w:val="0"/>
          <w:sz w:val="24"/>
          <w:szCs w:val="24"/>
        </w:rPr>
      </w:pPr>
      <w:r>
        <w:rPr>
          <w:rFonts w:ascii="方正楷体_GBK" w:hAnsi="方正楷体_GBK" w:eastAsia="方正楷体_GBK" w:cs="方正楷体_GBK"/>
          <w:b w:val="0"/>
          <w:bCs w:val="0"/>
          <w:i w:val="0"/>
          <w:iCs w:val="0"/>
          <w:caps w:val="0"/>
          <w:color w:val="000000"/>
          <w:spacing w:val="0"/>
          <w:sz w:val="32"/>
          <w:szCs w:val="32"/>
          <w:bdr w:val="none" w:color="auto" w:sz="0" w:space="0"/>
          <w:shd w:val="clear" w:fill="FFFFFF"/>
        </w:rPr>
        <w:t>（一）主动公开情况。</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金寨县关庙乡人民政府认真贯彻《中华人民共和国政府信息公开条例》，持续做好主动公开、“两化”领域信息发布和专区建设，不断完善政务公开制度，推进决策、执行、管理、服务和结果全过程公开，推动工作落实，集中展示信息。全年主动公开信息</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2850</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条，其中主动公开政府信息</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936</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条，主要涉及政策文件、财政资金等内容；两化领域主动公开</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1914</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条，主要涉及国土空间规划、社会保障等内容。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atLeast"/>
        <w:ind w:left="0" w:right="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000000"/>
          <w:spacing w:val="0"/>
          <w:sz w:val="32"/>
          <w:szCs w:val="32"/>
          <w:bdr w:val="none" w:color="auto" w:sz="0" w:space="0"/>
          <w:shd w:val="clear" w:fill="FFFFFF"/>
        </w:rPr>
        <w:t>（二）依申请公开。</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关庙乡遵循公正、公平、便民原则，充分发挥政府信息公开对人民群众生产生活和经济社会活动的服务作用，持续做好政府信息公开申请登记、审核、办理、答复、归档工作。</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2022</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年，关庙乡共收到依申请公开信息</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atLeast"/>
        <w:ind w:left="0" w:right="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000000"/>
          <w:spacing w:val="0"/>
          <w:sz w:val="32"/>
          <w:szCs w:val="32"/>
          <w:bdr w:val="none" w:color="auto" w:sz="0" w:space="0"/>
          <w:shd w:val="clear" w:fill="FFFFFF"/>
        </w:rPr>
        <w:t>（三）政府信息管理。</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我乡以县政务公开办</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2022</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年政务信息公开工作要点为指导，结合工作实际，开展相关工作，进一步明确了信息公开的主体、内容、时限，建立“部门+全员”机制，将信息公开工作细分至各科室和个人，明确专人管理门户网站，重点防范出现泄露群众隐私、重大表述错误和信息泄密等情况，并对所有规范性文件格式进行调整，全年未因政府信息公开引发负面舆情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atLeast"/>
        <w:ind w:left="0" w:right="0" w:firstLine="640" w:firstLineChars="200"/>
        <w:jc w:val="left"/>
        <w:textAlignment w:val="auto"/>
        <w:rPr>
          <w:rFonts w:hint="eastAsia" w:ascii="宋体" w:hAnsi="宋体" w:eastAsia="宋体" w:cs="宋体"/>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000000"/>
          <w:spacing w:val="0"/>
          <w:sz w:val="32"/>
          <w:szCs w:val="32"/>
          <w:bdr w:val="none" w:color="auto" w:sz="0" w:space="0"/>
          <w:shd w:val="clear" w:fill="FFFFFF"/>
        </w:rPr>
        <w:t>（四）政府信息公开平台建设。一</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是持续加强门户网站管理，适时更新内容，及时通过网站向社会公众发布。二是依托群众服务中心建设，突出山核桃特色品牌元素，全力打造政务公开专区，增设休息区、阅览区、查询区、休闲区等</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个功能区；梳理个人“一生事”和残疾证办理、社保卡申领、低保申请等流程挂牌上墙；围绕重点民生事项和与企业、群众关系密切领域，提供最新政策解读、服务指南以及触屏查询机、电脑和打印机等基础设备。专区建设以来，先后为群众免费提供口罩</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5000</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余只、复印</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1000</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余次，为特殊群体提供预约、延时服务</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200</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余次，取得显著效果。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atLeas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000000"/>
          <w:spacing w:val="0"/>
          <w:sz w:val="32"/>
          <w:szCs w:val="32"/>
          <w:bdr w:val="none" w:color="auto" w:sz="0" w:space="0"/>
          <w:shd w:val="clear" w:fill="FFFFFF"/>
        </w:rPr>
        <w:t>（五）政府信息公开监督保障。</w:t>
      </w:r>
      <w:r>
        <w:rPr>
          <w:rFonts w:hint="eastAsia" w:ascii="仿宋" w:hAnsi="仿宋" w:eastAsia="仿宋" w:cs="仿宋"/>
          <w:i w:val="0"/>
          <w:iCs w:val="0"/>
          <w:caps w:val="0"/>
          <w:color w:val="000000"/>
          <w:spacing w:val="0"/>
          <w:sz w:val="32"/>
          <w:szCs w:val="32"/>
          <w:bdr w:val="none" w:color="auto" w:sz="0" w:space="0"/>
          <w:shd w:val="clear" w:fill="FFFFFF"/>
        </w:rPr>
        <w:t>深化监督保障，提高工作质效，健全“考核+督促”机制，将政务公开信息纳入部门综合考核，制定考核实施办法，定期排名打分，公开晒出“成绩单”，以考评倒逼实绩，助推政务公开工作扎实开展，主动接受各单位和群众的社会监督，社会评议良好，未产生责任追究相关问题和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left"/>
        <w:rPr>
          <w:rFonts w:hint="eastAsia" w:ascii="宋体" w:hAnsi="宋体" w:eastAsia="宋体" w:cs="宋体"/>
          <w:i w:val="0"/>
          <w:iCs w:val="0"/>
          <w:caps w:val="0"/>
          <w:color w:val="333333"/>
          <w:spacing w:val="0"/>
          <w:sz w:val="24"/>
          <w:szCs w:val="24"/>
        </w:rPr>
      </w:pPr>
      <w:r>
        <w:rPr>
          <w:rFonts w:hint="eastAsia" w:ascii="方正黑体_GBK" w:hAnsi="方正黑体_GBK" w:eastAsia="方正黑体_GBK" w:cs="方正黑体_GBK"/>
          <w:b/>
          <w:bCs/>
          <w:i w:val="0"/>
          <w:iCs w:val="0"/>
          <w:caps w:val="0"/>
          <w:color w:val="333333"/>
          <w:spacing w:val="0"/>
          <w:sz w:val="32"/>
          <w:szCs w:val="32"/>
          <w:bdr w:val="none" w:color="auto" w:sz="0" w:space="0"/>
          <w:shd w:val="clear" w:fill="FFFFFF"/>
        </w:rPr>
        <w:t>二、主动公开政府信息情况</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信息内容</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本年</w:t>
            </w:r>
            <w:r>
              <w:rPr>
                <w:rFonts w:hint="eastAsia" w:ascii="宋体" w:hAnsi="宋体" w:eastAsia="宋体" w:cs="宋体"/>
                <w:sz w:val="20"/>
                <w:szCs w:val="20"/>
                <w:bdr w:val="none" w:color="auto" w:sz="0" w:space="0"/>
              </w:rPr>
              <w:t>制发件数</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本年废止件数</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现行有效件</w:t>
            </w:r>
            <w:r>
              <w:rPr>
                <w:rFonts w:hint="eastAsia" w:ascii="宋体" w:hAnsi="宋体" w:eastAsia="宋体" w:cs="宋体"/>
                <w:sz w:val="20"/>
                <w:szCs w:val="20"/>
                <w:bdr w:val="none" w:color="auto" w:sz="0" w:space="0"/>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规章</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20"/>
                <w:szCs w:val="20"/>
                <w:bdr w:val="none" w:color="auto" w:sz="0" w:space="0"/>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行政规范性文件</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信息内容</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行政许可</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ascii="Calibri" w:hAnsi="Calibri" w:eastAsia="仿宋" w:cs="Calibri"/>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信息内容</w:t>
            </w:r>
          </w:p>
        </w:tc>
        <w:tc>
          <w:tcPr>
            <w:tcW w:w="7305"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行政处罚</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行政强制</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信息内容</w:t>
            </w:r>
          </w:p>
        </w:tc>
        <w:tc>
          <w:tcPr>
            <w:tcW w:w="7305" w:type="dxa"/>
            <w:gridSpan w:val="3"/>
            <w:tcBorders>
              <w:top w:val="nil"/>
              <w:left w:val="nil"/>
              <w:bottom w:val="single" w:color="auto" w:sz="8" w:space="0"/>
              <w:right w:val="single" w:color="000000"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行政事业性收费</w:t>
            </w:r>
          </w:p>
        </w:tc>
        <w:tc>
          <w:tcPr>
            <w:tcW w:w="7305" w:type="dxa"/>
            <w:gridSpan w:val="3"/>
            <w:tcBorders>
              <w:top w:val="nil"/>
              <w:left w:val="nil"/>
              <w:bottom w:val="single" w:color="auto" w:sz="8" w:space="0"/>
              <w:right w:val="single" w:color="000000"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4"/>
                <w:szCs w:val="24"/>
                <w:bdr w:val="none" w:color="auto" w:sz="0" w:space="0"/>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left"/>
        <w:textAlignment w:val="auto"/>
        <w:rPr>
          <w:rFonts w:hint="eastAsia" w:ascii="宋体" w:hAnsi="宋体" w:eastAsia="宋体" w:cs="宋体"/>
          <w:i w:val="0"/>
          <w:iCs w:val="0"/>
          <w:caps w:val="0"/>
          <w:color w:val="333333"/>
          <w:spacing w:val="0"/>
          <w:sz w:val="24"/>
          <w:szCs w:val="24"/>
        </w:rPr>
      </w:pPr>
      <w:r>
        <w:rPr>
          <w:rFonts w:hint="eastAsia" w:ascii="方正黑体_GBK" w:hAnsi="方正黑体_GBK" w:eastAsia="方正黑体_GBK" w:cs="方正黑体_GBK"/>
          <w:b/>
          <w:bCs/>
          <w:i w:val="0"/>
          <w:iCs w:val="0"/>
          <w:caps w:val="0"/>
          <w:color w:val="333333"/>
          <w:spacing w:val="0"/>
          <w:sz w:val="32"/>
          <w:szCs w:val="32"/>
          <w:bdr w:val="none" w:color="auto" w:sz="0" w:space="0"/>
          <w:shd w:val="clear" w:fill="FFFFFF"/>
        </w:rPr>
        <w:t>三、收到和处理政府信息公开申请情况</w:t>
      </w:r>
    </w:p>
    <w:tbl>
      <w:tblPr>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ascii="楷体" w:hAnsi="楷体" w:eastAsia="楷体" w:cs="楷体"/>
                <w:sz w:val="20"/>
                <w:szCs w:val="20"/>
                <w:bdr w:val="none" w:color="auto" w:sz="0" w:space="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688" w:type="dxa"/>
            <w:vMerge w:val="restart"/>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自然人</w:t>
            </w:r>
          </w:p>
        </w:tc>
        <w:tc>
          <w:tcPr>
            <w:tcW w:w="3440" w:type="dxa"/>
            <w:gridSpan w:val="5"/>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法人或其他组织</w:t>
            </w:r>
          </w:p>
        </w:tc>
        <w:tc>
          <w:tcPr>
            <w:tcW w:w="688" w:type="dxa"/>
            <w:vMerge w:val="restart"/>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688" w:type="dxa"/>
            <w:vMerge w:val="continue"/>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688" w:type="dxa"/>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企业</w:t>
            </w:r>
          </w:p>
        </w:tc>
        <w:tc>
          <w:tcPr>
            <w:tcW w:w="688" w:type="dxa"/>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机构</w:t>
            </w:r>
          </w:p>
        </w:tc>
        <w:tc>
          <w:tcPr>
            <w:tcW w:w="688" w:type="dxa"/>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社会公益组织</w:t>
            </w:r>
          </w:p>
        </w:tc>
        <w:tc>
          <w:tcPr>
            <w:tcW w:w="688" w:type="dxa"/>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法律服务机构</w:t>
            </w:r>
          </w:p>
        </w:tc>
        <w:tc>
          <w:tcPr>
            <w:tcW w:w="688" w:type="dxa"/>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其他</w:t>
            </w:r>
          </w:p>
        </w:tc>
        <w:tc>
          <w:tcPr>
            <w:tcW w:w="688"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一、本年新收政府信息公开申请数量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1</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二、上年结转政府信息公开申请数量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restart"/>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三、本年度办理结果</w:t>
            </w: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（一）予以公开</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（二）部分公开</w:t>
            </w:r>
            <w:r>
              <w:rPr>
                <w:rFonts w:hint="eastAsia" w:ascii="楷体" w:hAnsi="楷体" w:eastAsia="楷体" w:cs="楷体"/>
                <w:sz w:val="20"/>
                <w:szCs w:val="20"/>
                <w:bdr w:val="none" w:color="auto" w:sz="0" w:space="0"/>
              </w:rPr>
              <w:t>（区分处理的，只计这一情形，不计其他情形）</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restart"/>
            <w:tcBorders>
              <w:top w:val="nil"/>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（三）不予公开</w:t>
            </w: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1.属于国家秘密</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2.其他法律行政法规禁止公开</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3.危及“三安全一稳定”</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4.保护第三方合法权益</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5.属于三类内部事务信息</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6.属于四类过程性信息</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7.属于行政执法案卷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8.属于行政查询事项</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restart"/>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（四）无法提供</w:t>
            </w: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1.本机关不掌握相关政府信息</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2.没有现成信息需要另行制作</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3.补正后申请内容仍不明确</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restart"/>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（五）不予处理</w:t>
            </w: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1.信访举报投诉类申请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2.重复申请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3.要求提供公开出版物</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4.无正当理由大量反复申请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9" w:hRule="atLeast"/>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sz w:val="32"/>
                <w:szCs w:val="32"/>
              </w:rPr>
            </w:pPr>
            <w:r>
              <w:rPr>
                <w:rFonts w:hint="eastAsia" w:ascii="宋体" w:hAnsi="宋体" w:eastAsia="宋体" w:cs="宋体"/>
                <w:sz w:val="20"/>
                <w:szCs w:val="20"/>
                <w:bdr w:val="none" w:color="auto" w:sz="0" w:space="0"/>
              </w:rPr>
              <w:t>5.要求行政机关确认或重新出具已获取信息</w:t>
            </w:r>
          </w:p>
        </w:tc>
        <w:tc>
          <w:tcPr>
            <w:tcW w:w="688" w:type="dxa"/>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single" w:color="auto" w:sz="8" w:space="0"/>
              <w:left w:val="single" w:color="auto" w:sz="8" w:space="0"/>
              <w:bottom w:val="outset"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restart"/>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（六）其他处理</w:t>
            </w:r>
          </w:p>
        </w:tc>
        <w:tc>
          <w:tcPr>
            <w:tcW w:w="3219"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sz w:val="32"/>
                <w:szCs w:val="32"/>
              </w:rPr>
            </w:pPr>
            <w:r>
              <w:rPr>
                <w:rFonts w:hint="eastAsia" w:ascii="宋体" w:hAnsi="宋体" w:eastAsia="宋体" w:cs="宋体"/>
                <w:sz w:val="20"/>
                <w:szCs w:val="20"/>
                <w:bdr w:val="none" w:color="auto" w:sz="0" w:space="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sz w:val="32"/>
                <w:szCs w:val="32"/>
              </w:rPr>
            </w:pPr>
            <w:r>
              <w:rPr>
                <w:rFonts w:hint="eastAsia" w:ascii="宋体" w:hAnsi="宋体" w:eastAsia="宋体" w:cs="宋体"/>
                <w:sz w:val="20"/>
                <w:szCs w:val="20"/>
                <w:bdr w:val="none" w:color="auto" w:sz="0" w:space="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943"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3.其他</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 w:hAnsi="仿宋" w:eastAsia="仿宋" w:cs="仿宋"/>
                <w:sz w:val="32"/>
                <w:szCs w:val="32"/>
              </w:rPr>
            </w:pPr>
            <w:r>
              <w:rPr>
                <w:rFonts w:hint="default" w:ascii="Calibri" w:hAnsi="Calibri" w:eastAsia="仿宋" w:cs="Calibri"/>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67" w:type="dxa"/>
            <w:vMerge w:val="continue"/>
            <w:tcBorders>
              <w:top w:val="single" w:color="auto" w:sz="8" w:space="0"/>
              <w:left w:val="single" w:color="auto" w:sz="8" w:space="0"/>
              <w:bottom w:val="outset" w:color="auto" w:sz="8" w:space="0"/>
              <w:right w:val="single" w:color="auto" w:sz="8" w:space="0"/>
            </w:tcBorders>
            <w:shd w:val="clear"/>
            <w:tcMar>
              <w:left w:w="57" w:type="dxa"/>
              <w:right w:w="57" w:type="dxa"/>
            </w:tcMar>
            <w:vAlign w:val="center"/>
          </w:tcPr>
          <w:p>
            <w:pPr>
              <w:rPr>
                <w:rFonts w:hint="default" w:ascii="Times New Roman" w:hAnsi="Times New Roman" w:cs="Times New Roman"/>
                <w:sz w:val="20"/>
                <w:szCs w:val="20"/>
              </w:rPr>
            </w:pP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（七）总计</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1</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宋体" w:hAnsi="宋体" w:eastAsia="宋体" w:cs="宋体"/>
                <w:sz w:val="20"/>
                <w:szCs w:val="20"/>
                <w:bdr w:val="none" w:color="auto" w:sz="0" w:space="0"/>
              </w:rPr>
              <w:t>四、结转下年度继续办理</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default" w:ascii="Calibri" w:hAnsi="Calibri" w:eastAsia="仿宋" w:cs="Calibri"/>
                <w:sz w:val="20"/>
                <w:szCs w:val="20"/>
                <w:bdr w:val="none" w:color="auto" w:sz="0" w:space="0"/>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方正黑体_GBK" w:hAnsi="方正黑体_GBK" w:eastAsia="方正黑体_GBK" w:cs="方正黑体_GBK"/>
          <w:b/>
          <w:bCs/>
          <w:i w:val="0"/>
          <w:iCs w:val="0"/>
          <w:caps w:val="0"/>
          <w:color w:val="333333"/>
          <w:spacing w:val="0"/>
          <w:sz w:val="32"/>
          <w:szCs w:val="32"/>
          <w:bdr w:val="none" w:color="auto" w:sz="0" w:space="0"/>
          <w:shd w:val="clear" w:fill="FFFFFF"/>
        </w:rPr>
        <w:t>四、政府信息公开行政复议、行政诉讼情况</w:t>
      </w:r>
    </w:p>
    <w:tbl>
      <w:tblPr>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行政复议</w:t>
            </w:r>
          </w:p>
        </w:tc>
        <w:tc>
          <w:tcPr>
            <w:tcW w:w="6498"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结果维持</w:t>
            </w:r>
          </w:p>
        </w:tc>
        <w:tc>
          <w:tcPr>
            <w:tcW w:w="649"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纠正</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结果</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审结</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总计</w:t>
            </w:r>
          </w:p>
        </w:tc>
        <w:tc>
          <w:tcPr>
            <w:tcW w:w="3248"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未经复议直接起诉</w:t>
            </w:r>
          </w:p>
        </w:tc>
        <w:tc>
          <w:tcPr>
            <w:tcW w:w="325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64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rPr>
            </w:pPr>
          </w:p>
        </w:tc>
        <w:tc>
          <w:tcPr>
            <w:tcW w:w="64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维持</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总计</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维持</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color w:val="000000"/>
                <w:sz w:val="20"/>
                <w:szCs w:val="20"/>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49"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50" w:type="dxa"/>
            <w:tcBorders>
              <w:top w:val="nil"/>
              <w:left w:val="nil"/>
              <w:bottom w:val="single" w:color="auto" w:sz="8" w:space="0"/>
              <w:right w:val="single" w:color="auto" w:sz="8" w:space="0"/>
            </w:tcBorders>
            <w:shd w:val="clear"/>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32"/>
                <w:szCs w:val="32"/>
              </w:rPr>
            </w:pPr>
            <w:r>
              <w:rPr>
                <w:rFonts w:hint="eastAsia" w:ascii="宋体" w:hAnsi="宋体" w:eastAsia="宋体" w:cs="宋体"/>
                <w:sz w:val="20"/>
                <w:szCs w:val="20"/>
                <w:bdr w:val="none" w:color="auto" w:sz="0" w:space="0"/>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i w:val="0"/>
          <w:iCs w:val="0"/>
          <w:caps w:val="0"/>
          <w:color w:val="333333"/>
          <w:spacing w:val="0"/>
          <w:sz w:val="32"/>
          <w:szCs w:val="32"/>
        </w:rPr>
      </w:pPr>
      <w:bookmarkStart w:id="0" w:name="_GoBack"/>
      <w:bookmarkEnd w:id="0"/>
      <w:r>
        <w:rPr>
          <w:rFonts w:hint="eastAsia" w:ascii="方正黑体_GBK" w:hAnsi="方正黑体_GBK" w:eastAsia="方正黑体_GBK" w:cs="方正黑体_GBK"/>
          <w:b/>
          <w:bCs/>
          <w:i w:val="0"/>
          <w:iCs w:val="0"/>
          <w:caps w:val="0"/>
          <w:color w:val="333333"/>
          <w:spacing w:val="0"/>
          <w:sz w:val="32"/>
          <w:szCs w:val="32"/>
          <w:bdr w:val="none" w:color="auto" w:sz="0" w:space="0"/>
          <w:shd w:val="clear" w:fill="FFFFFF"/>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000000"/>
          <w:spacing w:val="0"/>
          <w:sz w:val="32"/>
          <w:szCs w:val="32"/>
          <w:bdr w:val="none" w:color="auto" w:sz="0" w:space="0"/>
          <w:shd w:val="clear" w:fill="FFFFFF"/>
        </w:rPr>
        <w:t>存在问题：</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一是部分信息内容质量不高，更新频次有待提高；二是公开内容涉及领域较多，逐项审核把关机制不够健全。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right="0" w:firstLine="640" w:firstLineChars="200"/>
        <w:jc w:val="left"/>
        <w:textAlignment w:val="auto"/>
        <w:rPr>
          <w:rFonts w:hint="eastAsia" w:ascii="宋体" w:hAnsi="宋体" w:eastAsia="宋体" w:cs="宋体"/>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000000"/>
          <w:spacing w:val="0"/>
          <w:sz w:val="32"/>
          <w:szCs w:val="32"/>
          <w:bdr w:val="none" w:color="auto" w:sz="0" w:space="0"/>
          <w:shd w:val="clear" w:fill="FFFFFF"/>
        </w:rPr>
        <w:t>改进措施</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一是加强学习，助推提质增效，围绕重要政策、重点工作、重大活动，主动学习优秀做法，不断创新政策解读工作方式，提高政策发布和宣传质量；二是提高政务公开意识，健全政务公开三级审核工作机制，坚持“谁主办、谁负责，先审查、后公开”原则，压紧压实政务公开工作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right="0" w:firstLine="640" w:firstLineChars="200"/>
        <w:jc w:val="left"/>
        <w:textAlignment w:val="auto"/>
        <w:rPr>
          <w:rFonts w:hint="eastAsia" w:ascii="宋体" w:hAnsi="宋体" w:eastAsia="宋体" w:cs="宋体"/>
          <w:i w:val="0"/>
          <w:iCs w:val="0"/>
          <w:caps w:val="0"/>
          <w:color w:val="333333"/>
          <w:spacing w:val="0"/>
          <w:sz w:val="24"/>
          <w:szCs w:val="24"/>
        </w:rPr>
      </w:pPr>
      <w:r>
        <w:rPr>
          <w:rFonts w:hint="eastAsia" w:ascii="方正楷体_GBK" w:hAnsi="方正楷体_GBK" w:eastAsia="方正楷体_GBK" w:cs="方正楷体_GBK"/>
          <w:b w:val="0"/>
          <w:bCs w:val="0"/>
          <w:i w:val="0"/>
          <w:iCs w:val="0"/>
          <w:caps w:val="0"/>
          <w:color w:val="000000"/>
          <w:spacing w:val="0"/>
          <w:sz w:val="32"/>
          <w:szCs w:val="32"/>
          <w:bdr w:val="none" w:color="auto" w:sz="0" w:space="0"/>
          <w:shd w:val="clear" w:fill="FFFFFF"/>
        </w:rPr>
        <w:t>下一步工作打算：</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通过持续完善，政务公开工作虽取得一定成效，但仍有部分不足。如：村务公开工作仍需加强，解读多为文字解读，形式单一。下一步，我乡将持续强化重点领域信息发布，抓紧抓实村级信息公开工作。创新方式方法，采用动画、视频等形式，拓展解读方式，提升解读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i w:val="0"/>
          <w:iCs w:val="0"/>
          <w:caps w:val="0"/>
          <w:color w:val="333333"/>
          <w:spacing w:val="0"/>
          <w:sz w:val="32"/>
          <w:szCs w:val="32"/>
        </w:rPr>
      </w:pPr>
      <w:r>
        <w:rPr>
          <w:rFonts w:hint="eastAsia" w:ascii="方正黑体_GBK" w:hAnsi="方正黑体_GBK" w:eastAsia="方正黑体_GBK" w:cs="方正黑体_GBK"/>
          <w:b/>
          <w:bCs/>
          <w:i w:val="0"/>
          <w:iCs w:val="0"/>
          <w:caps w:val="0"/>
          <w:color w:val="333333"/>
          <w:spacing w:val="0"/>
          <w:sz w:val="32"/>
          <w:szCs w:val="32"/>
          <w:bdr w:val="none" w:color="auto" w:sz="0" w:space="0"/>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按照《国务院办公厅关于印发〈政府信息公开信息处理费管理办法〉的通知》（国办函〔</w:t>
      </w:r>
      <w:r>
        <w:rPr>
          <w:rFonts w:hint="default" w:ascii="Times New Roman" w:hAnsi="Times New Roman" w:eastAsia="宋体" w:cs="Times New Roman"/>
          <w:i w:val="0"/>
          <w:iCs w:val="0"/>
          <w:caps w:val="0"/>
          <w:color w:val="333333"/>
          <w:spacing w:val="0"/>
          <w:sz w:val="32"/>
          <w:szCs w:val="32"/>
          <w:bdr w:val="none" w:color="auto" w:sz="0" w:space="0"/>
          <w:shd w:val="clear" w:fill="FFFFFF"/>
        </w:rPr>
        <w:t>2020</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109</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号）规定的按件、按量收费标准，本年度没有产生信息公开处理费。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7F86BF-AA26-4B04-8DDE-C7E36E8DD881}"/>
  </w:font>
  <w:font w:name="仿宋">
    <w:panose1 w:val="02010609060101010101"/>
    <w:charset w:val="86"/>
    <w:family w:val="auto"/>
    <w:pitch w:val="default"/>
    <w:sig w:usb0="800002BF" w:usb1="38CF7CFA" w:usb2="00000016" w:usb3="00000000" w:csb0="00040001" w:csb1="00000000"/>
    <w:embedRegular r:id="rId2" w:fontKey="{FCBCCD36-BF1B-4D49-847A-3A0E07275F85}"/>
  </w:font>
  <w:font w:name="方正仿宋_GBK">
    <w:panose1 w:val="03000509000000000000"/>
    <w:charset w:val="86"/>
    <w:family w:val="auto"/>
    <w:pitch w:val="default"/>
    <w:sig w:usb0="00000001" w:usb1="080E0000" w:usb2="00000000" w:usb3="00000000" w:csb0="00040000" w:csb1="00000000"/>
    <w:embedRegular r:id="rId3" w:fontKey="{BC888B95-6010-4BB1-8ED4-CF9ECDD2BD35}"/>
  </w:font>
  <w:font w:name="方正黑体_GBK">
    <w:panose1 w:val="03000509000000000000"/>
    <w:charset w:val="86"/>
    <w:family w:val="auto"/>
    <w:pitch w:val="default"/>
    <w:sig w:usb0="00000001" w:usb1="080E0000" w:usb2="00000000" w:usb3="00000000" w:csb0="00040000" w:csb1="00000000"/>
    <w:embedRegular r:id="rId4" w:fontKey="{B224CECA-1FC8-43C8-8A16-5B557B916496}"/>
  </w:font>
  <w:font w:name="方正楷体_GBK">
    <w:panose1 w:val="03000509000000000000"/>
    <w:charset w:val="86"/>
    <w:family w:val="auto"/>
    <w:pitch w:val="default"/>
    <w:sig w:usb0="00000001" w:usb1="080E0000" w:usb2="00000000" w:usb3="00000000" w:csb0="00040000" w:csb1="00000000"/>
    <w:embedRegular r:id="rId5" w:fontKey="{D37A3228-047D-4F3F-9B8E-1FBF4631EACA}"/>
  </w:font>
  <w:font w:name="楷体">
    <w:panose1 w:val="02010609060101010101"/>
    <w:charset w:val="86"/>
    <w:family w:val="auto"/>
    <w:pitch w:val="default"/>
    <w:sig w:usb0="800002BF" w:usb1="38CF7CFA" w:usb2="00000016" w:usb3="00000000" w:csb0="00040001" w:csb1="00000000"/>
    <w:embedRegular r:id="rId6" w:fontKey="{8C38B27F-50A0-41B0-BE30-A77ED89AE57F}"/>
  </w:font>
  <w:font w:name="微软雅黑">
    <w:panose1 w:val="020B0503020204020204"/>
    <w:charset w:val="86"/>
    <w:family w:val="auto"/>
    <w:pitch w:val="default"/>
    <w:sig w:usb0="80000287" w:usb1="2ACF3C50" w:usb2="00000016" w:usb3="00000000" w:csb0="0004001F" w:csb1="00000000"/>
  </w:font>
  <w:font w:name="红豆仿宋黑">
    <w:panose1 w:val="02000509000000000000"/>
    <w:charset w:val="86"/>
    <w:family w:val="auto"/>
    <w:pitch w:val="default"/>
    <w:sig w:usb0="00000001" w:usb1="08010410" w:usb2="00000012" w:usb3="00000000" w:csb0="00040001" w:csb1="00000000"/>
  </w:font>
  <w:font w:name="汉仪旗黑X2-55简">
    <w:panose1 w:val="00020600040101010101"/>
    <w:charset w:val="86"/>
    <w:family w:val="auto"/>
    <w:pitch w:val="default"/>
    <w:sig w:usb0="A00002BF" w:usb1="1ACF7CFA" w:usb2="00000016" w:usb3="00000000" w:csb0="00040000" w:csb1="00000000"/>
  </w:font>
  <w:font w:name="方正公文黑体">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7" w:fontKey="{424F5EF1-9B68-44B7-BA0C-D0AF6672A7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mE5ZDM3NDgzMzI0M2NjMjkxOGFkMTQ3MGFlYmUifQ=="/>
  </w:docVars>
  <w:rsids>
    <w:rsidRoot w:val="00000000"/>
    <w:rsid w:val="57561E8B"/>
    <w:rsid w:val="6DA0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2518</Words>
  <Characters>2643</Characters>
  <Lines>0</Lines>
  <Paragraphs>0</Paragraphs>
  <TotalTime>1</TotalTime>
  <ScaleCrop>false</ScaleCrop>
  <LinksUpToDate>false</LinksUpToDate>
  <CharactersWithSpaces>2802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2024-02-21T00:21:08Z</dcterms:created>
  <dc:creator>Administrator</dc:creator>
  <cp:lastModifiedBy>郭雨</cp:lastModifiedBy>
  <dcterms:modified xsi:type="dcterms:W3CDTF">2024-02-21T00:26:43Z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DF05A9C44D444D27BD2448D86B0120D6_12</vt:lpwstr>
  </property>
</Properties>
</file>