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default" w:ascii="Times New Roman" w:eastAsia="方正小标宋简体"/>
          <w:color w:val="auto"/>
          <w:kern w:val="0"/>
          <w:sz w:val="44"/>
          <w:szCs w:val="44"/>
          <w:highlight w:val="none"/>
          <w:u w:val="none" w:color="auto"/>
          <w:shd w:val="clear" w:color="auto" w:fill="auto"/>
        </w:rPr>
      </w:pPr>
      <w:r>
        <w:rPr>
          <w:rFonts w:hint="eastAsia" w:ascii="Times New Roman" w:eastAsia="方正小标宋简体"/>
          <w:color w:val="auto"/>
          <w:kern w:val="0"/>
          <w:sz w:val="44"/>
          <w:szCs w:val="44"/>
          <w:highlight w:val="none"/>
          <w:u w:val="none" w:color="auto"/>
          <w:shd w:val="clear" w:color="auto" w:fill="auto"/>
          <w:lang w:eastAsia="zh-CN"/>
        </w:rPr>
        <w:t>金寨县白塔畈镇</w:t>
      </w:r>
      <w:r>
        <w:rPr>
          <w:rFonts w:hint="default" w:ascii="Times New Roman" w:hAnsi="Times New Roman" w:eastAsia="方正小标宋简体" w:cs="Times New Roman"/>
          <w:color w:val="auto"/>
          <w:kern w:val="0"/>
          <w:sz w:val="44"/>
          <w:szCs w:val="44"/>
          <w:highlight w:val="none"/>
          <w:u w:val="none" w:color="auto"/>
          <w:shd w:val="clear" w:color="auto" w:fill="auto"/>
          <w:lang w:val="en-US" w:eastAsia="zh-CN"/>
        </w:rPr>
        <w:t>202</w:t>
      </w:r>
      <w:r>
        <w:rPr>
          <w:rFonts w:hint="eastAsia" w:ascii="Times New Roman" w:eastAsia="方正小标宋简体" w:cs="Times New Roman"/>
          <w:color w:val="auto"/>
          <w:kern w:val="0"/>
          <w:sz w:val="44"/>
          <w:szCs w:val="44"/>
          <w:highlight w:val="none"/>
          <w:u w:val="none" w:color="auto"/>
          <w:shd w:val="clear" w:color="auto" w:fill="auto"/>
          <w:lang w:val="en-US" w:eastAsia="zh-CN"/>
        </w:rPr>
        <w:t>3</w:t>
      </w:r>
      <w:r>
        <w:rPr>
          <w:rFonts w:hint="eastAsia" w:ascii="Times New Roman" w:eastAsia="方正小标宋简体"/>
          <w:color w:val="auto"/>
          <w:kern w:val="0"/>
          <w:sz w:val="44"/>
          <w:szCs w:val="44"/>
          <w:highlight w:val="none"/>
          <w:u w:val="none" w:color="auto"/>
          <w:shd w:val="clear" w:color="auto" w:fill="auto"/>
          <w:lang w:val="en-US" w:eastAsia="zh-CN"/>
        </w:rPr>
        <w:t>年</w:t>
      </w:r>
      <w:r>
        <w:rPr>
          <w:rFonts w:hint="default" w:ascii="Times New Roman" w:eastAsia="方正小标宋简体"/>
          <w:color w:val="auto"/>
          <w:kern w:val="0"/>
          <w:sz w:val="44"/>
          <w:szCs w:val="44"/>
          <w:highlight w:val="none"/>
          <w:u w:val="none" w:color="auto"/>
          <w:shd w:val="clear" w:color="auto" w:fill="auto"/>
        </w:rPr>
        <w:t>政府信息公开工作年度报告</w:t>
      </w:r>
    </w:p>
    <w:p>
      <w:pPr>
        <w:widowControl/>
        <w:shd w:val="clear" w:color="auto" w:fill="FFFFFF"/>
        <w:rPr>
          <w:rFonts w:hint="default" w:ascii="Times New Roman"/>
          <w:color w:val="auto"/>
          <w:kern w:val="0"/>
          <w:sz w:val="32"/>
          <w:szCs w:val="32"/>
          <w:highlight w:val="none"/>
          <w:u w:val="none" w:color="auto"/>
          <w:shd w:val="clear" w:color="auto" w:fill="auto"/>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kern w:val="0"/>
          <w:sz w:val="32"/>
          <w:szCs w:val="32"/>
          <w:highlight w:val="none"/>
          <w:u w:val="none" w:color="auto"/>
          <w:shd w:val="clear" w:color="auto" w:fill="auto"/>
        </w:rPr>
      </w:pPr>
      <w:r>
        <w:rPr>
          <w:rFonts w:hint="eastAsia" w:ascii="仿宋_GB2312" w:hAnsi="仿宋_GB2312" w:eastAsia="仿宋_GB2312" w:cs="仿宋_GB2312"/>
          <w:b w:val="0"/>
          <w:bCs/>
          <w:color w:val="auto"/>
          <w:kern w:val="0"/>
          <w:sz w:val="32"/>
          <w:szCs w:val="32"/>
          <w:highlight w:val="none"/>
          <w:u w:val="none" w:color="auto"/>
          <w:shd w:val="clear" w:color="auto" w:fill="auto"/>
        </w:rPr>
        <w:t>本报告依据《中华人民共和国政府信息公开条例》（国务院令第711号，以下简称新《条例》）和《金寨县政务公开办公室关于做好2023年度政府信息公开工作年度报告编制和发布的通知》（金政公开〔2024〕1号）要求编制而成。报告主要包括：总体情况、主动公开政府信息情况、收到和处理政府信息公开申请情况、政府信息公开行政复议、行政诉讼情况、存在的主要问题及改进情况和其他需要报告的事项。本报告中使用数据统计期限为2023年1月1日至12月31日，报告的电子版可在金寨县</w:t>
      </w:r>
      <w:r>
        <w:rPr>
          <w:rFonts w:hint="eastAsia" w:hAnsi="仿宋_GB2312" w:cs="仿宋_GB2312"/>
          <w:b w:val="0"/>
          <w:bCs/>
          <w:color w:val="auto"/>
          <w:kern w:val="0"/>
          <w:sz w:val="32"/>
          <w:szCs w:val="32"/>
          <w:highlight w:val="none"/>
          <w:u w:val="none" w:color="auto"/>
          <w:shd w:val="clear" w:color="auto" w:fill="auto"/>
          <w:lang w:val="en-US" w:eastAsia="zh-CN"/>
        </w:rPr>
        <w:t>白塔畈镇</w:t>
      </w:r>
      <w:r>
        <w:rPr>
          <w:rFonts w:hint="eastAsia" w:ascii="仿宋_GB2312" w:hAnsi="仿宋_GB2312" w:eastAsia="仿宋_GB2312" w:cs="仿宋_GB2312"/>
          <w:b w:val="0"/>
          <w:bCs/>
          <w:color w:val="auto"/>
          <w:kern w:val="0"/>
          <w:sz w:val="32"/>
          <w:szCs w:val="32"/>
          <w:highlight w:val="none"/>
          <w:u w:val="none" w:color="auto"/>
          <w:shd w:val="clear" w:color="auto" w:fill="auto"/>
        </w:rPr>
        <w:t>信息公开网（https://www.ahjinzhai.gov.cn/public/column/6597171?type=3&amp;action=detail&amp;nav=3&amp;title=2023）下载。如对本报告有任何疑问，请与金寨县</w:t>
      </w:r>
      <w:r>
        <w:rPr>
          <w:rFonts w:hint="eastAsia" w:hAnsi="仿宋_GB2312" w:cs="仿宋_GB2312"/>
          <w:b w:val="0"/>
          <w:bCs/>
          <w:color w:val="auto"/>
          <w:kern w:val="0"/>
          <w:sz w:val="32"/>
          <w:szCs w:val="32"/>
          <w:highlight w:val="none"/>
          <w:u w:val="none" w:color="auto"/>
          <w:shd w:val="clear" w:color="auto" w:fill="auto"/>
          <w:lang w:val="en-US" w:eastAsia="zh-CN"/>
        </w:rPr>
        <w:t>白塔畈镇</w:t>
      </w:r>
      <w:r>
        <w:rPr>
          <w:rFonts w:hint="eastAsia" w:ascii="仿宋_GB2312" w:hAnsi="仿宋_GB2312" w:eastAsia="仿宋_GB2312" w:cs="仿宋_GB2312"/>
          <w:b w:val="0"/>
          <w:bCs/>
          <w:color w:val="auto"/>
          <w:kern w:val="0"/>
          <w:sz w:val="32"/>
          <w:szCs w:val="32"/>
          <w:highlight w:val="none"/>
          <w:u w:val="none" w:color="auto"/>
          <w:shd w:val="clear" w:color="auto" w:fill="auto"/>
        </w:rPr>
        <w:t>人民政府政务公开办联系（联系地址：金寨县</w:t>
      </w:r>
      <w:r>
        <w:rPr>
          <w:rFonts w:hint="eastAsia" w:hAnsi="仿宋_GB2312" w:cs="仿宋_GB2312"/>
          <w:b w:val="0"/>
          <w:bCs/>
          <w:color w:val="auto"/>
          <w:kern w:val="0"/>
          <w:sz w:val="32"/>
          <w:szCs w:val="32"/>
          <w:highlight w:val="none"/>
          <w:u w:val="none" w:color="auto"/>
          <w:shd w:val="clear" w:color="auto" w:fill="auto"/>
          <w:lang w:val="en-US" w:eastAsia="zh-CN"/>
        </w:rPr>
        <w:t>白塔畈镇</w:t>
      </w:r>
      <w:r>
        <w:rPr>
          <w:rFonts w:hint="eastAsia" w:ascii="仿宋_GB2312" w:hAnsi="仿宋_GB2312" w:eastAsia="仿宋_GB2312" w:cs="仿宋_GB2312"/>
          <w:b w:val="0"/>
          <w:bCs/>
          <w:color w:val="auto"/>
          <w:kern w:val="0"/>
          <w:sz w:val="32"/>
          <w:szCs w:val="32"/>
          <w:highlight w:val="none"/>
          <w:u w:val="none" w:color="auto"/>
          <w:shd w:val="clear" w:color="auto" w:fill="auto"/>
        </w:rPr>
        <w:t>人民政府一楼</w:t>
      </w:r>
      <w:r>
        <w:rPr>
          <w:rFonts w:hint="eastAsia" w:hAnsi="仿宋_GB2312" w:cs="仿宋_GB2312"/>
          <w:b w:val="0"/>
          <w:bCs/>
          <w:color w:val="auto"/>
          <w:kern w:val="0"/>
          <w:sz w:val="32"/>
          <w:szCs w:val="32"/>
          <w:highlight w:val="none"/>
          <w:u w:val="none" w:color="auto"/>
          <w:shd w:val="clear" w:color="auto" w:fill="auto"/>
          <w:lang w:val="en-US" w:eastAsia="zh-CN"/>
        </w:rPr>
        <w:t>党政办</w:t>
      </w:r>
      <w:r>
        <w:rPr>
          <w:rFonts w:hint="eastAsia" w:ascii="仿宋_GB2312" w:hAnsi="仿宋_GB2312" w:eastAsia="仿宋_GB2312" w:cs="仿宋_GB2312"/>
          <w:b w:val="0"/>
          <w:bCs/>
          <w:color w:val="auto"/>
          <w:kern w:val="0"/>
          <w:sz w:val="32"/>
          <w:szCs w:val="32"/>
          <w:highlight w:val="none"/>
          <w:u w:val="none" w:color="auto"/>
          <w:shd w:val="clear" w:color="auto" w:fill="auto"/>
        </w:rPr>
        <w:t>，联系电话：0564-</w:t>
      </w:r>
      <w:r>
        <w:rPr>
          <w:rFonts w:hint="eastAsia" w:hAnsi="仿宋_GB2312" w:cs="仿宋_GB2312"/>
          <w:b w:val="0"/>
          <w:bCs/>
          <w:color w:val="auto"/>
          <w:kern w:val="0"/>
          <w:sz w:val="32"/>
          <w:szCs w:val="32"/>
          <w:highlight w:val="none"/>
          <w:u w:val="none" w:color="auto"/>
          <w:shd w:val="clear" w:color="auto" w:fill="auto"/>
          <w:lang w:val="en-US" w:eastAsia="zh-CN"/>
        </w:rPr>
        <w:t>7328005</w:t>
      </w:r>
      <w:r>
        <w:rPr>
          <w:rFonts w:hint="eastAsia" w:ascii="仿宋_GB2312" w:hAnsi="仿宋_GB2312" w:eastAsia="仿宋_GB2312" w:cs="仿宋_GB2312"/>
          <w:b w:val="0"/>
          <w:bCs/>
          <w:color w:val="auto"/>
          <w:kern w:val="0"/>
          <w:sz w:val="32"/>
          <w:szCs w:val="32"/>
          <w:highlight w:val="none"/>
          <w:u w:val="none" w:color="auto"/>
          <w:shd w:val="clear" w:color="auto" w:fill="auto"/>
        </w:rPr>
        <w:t>，邮编：2373</w:t>
      </w:r>
      <w:r>
        <w:rPr>
          <w:rFonts w:hint="eastAsia" w:hAnsi="仿宋_GB2312" w:cs="仿宋_GB2312"/>
          <w:b w:val="0"/>
          <w:bCs/>
          <w:color w:val="auto"/>
          <w:kern w:val="0"/>
          <w:sz w:val="32"/>
          <w:szCs w:val="32"/>
          <w:highlight w:val="none"/>
          <w:u w:val="none" w:color="auto"/>
          <w:shd w:val="clear" w:color="auto" w:fill="auto"/>
          <w:lang w:val="en-US" w:eastAsia="zh-CN"/>
        </w:rPr>
        <w:t>00</w:t>
      </w:r>
      <w:r>
        <w:rPr>
          <w:rFonts w:hint="eastAsia" w:ascii="仿宋_GB2312" w:hAnsi="仿宋_GB2312" w:eastAsia="仿宋_GB2312" w:cs="仿宋_GB2312"/>
          <w:b w:val="0"/>
          <w:bCs/>
          <w:color w:val="auto"/>
          <w:kern w:val="0"/>
          <w:sz w:val="32"/>
          <w:szCs w:val="32"/>
          <w:highlight w:val="none"/>
          <w:u w:val="none" w:color="auto"/>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color w:val="auto"/>
          <w:kern w:val="0"/>
          <w:sz w:val="32"/>
          <w:szCs w:val="32"/>
          <w:highlight w:val="none"/>
          <w:u w:val="none" w:color="auto"/>
          <w:shd w:val="clear" w:color="auto" w:fill="auto"/>
        </w:rPr>
      </w:pPr>
      <w:r>
        <w:rPr>
          <w:rFonts w:hint="eastAsia" w:ascii="黑体" w:hAnsi="黑体" w:eastAsia="黑体" w:cs="黑体"/>
          <w:b w:val="0"/>
          <w:bCs/>
          <w:color w:val="auto"/>
          <w:kern w:val="0"/>
          <w:sz w:val="32"/>
          <w:szCs w:val="32"/>
          <w:highlight w:val="none"/>
          <w:u w:val="none" w:color="auto"/>
          <w:shd w:val="clear" w:color="auto" w:fill="auto"/>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pPr>
      <w:r>
        <w:rPr>
          <w:rFonts w:hint="default" w:ascii="楷体_GB2312" w:hAnsi="楷体_GB2312" w:eastAsia="楷体_GB2312" w:cs="楷体_GB2312"/>
          <w:b/>
          <w:bCs/>
          <w:color w:val="auto"/>
          <w:kern w:val="0"/>
          <w:sz w:val="32"/>
          <w:szCs w:val="32"/>
          <w:highlight w:val="none"/>
          <w:u w:val="none" w:color="auto"/>
          <w:shd w:val="clear" w:color="auto" w:fill="auto"/>
          <w:lang w:val="en-US" w:eastAsia="zh-CN" w:bidi="ar-SA"/>
        </w:rPr>
        <w:t>1.主动公开情况：</w:t>
      </w:r>
      <w:r>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t>认真研读省、市、县年度政务公开重点工作清单，对照政务公开重点工作安排，将信息公开做为本级政府一项常规工作来抓。聚焦群众和市场主体需求，健全完善动态更新机制，突出公开财政资金使用情况、社会救助等与群众切身利益息息相关的信息，共计发布财政资金管理政策与分配结果信息466条，行政权力运行结果信息95条，积极接受社会监督，使政府信息公开及时、有效、透明，持续推动政务公开工作各项措施落到实处。分领域有针对性公开就业、教育、公共文化等领域信息，发挥政务网站“窗口”作用，全面回应群众关切，根据当前社会不同关注点，适时发布健康医疗、教育、民生保障等信息，全年共发布回应关切信息119条、发布预警信息及应对情况136条，更加方便群众生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pPr>
      <w:r>
        <w:rPr>
          <w:rFonts w:hint="default" w:ascii="楷体_GB2312" w:hAnsi="楷体_GB2312" w:eastAsia="楷体_GB2312" w:cs="楷体_GB2312"/>
          <w:b/>
          <w:bCs/>
          <w:color w:val="auto"/>
          <w:kern w:val="0"/>
          <w:sz w:val="32"/>
          <w:szCs w:val="32"/>
          <w:highlight w:val="none"/>
          <w:u w:val="none" w:color="auto"/>
          <w:shd w:val="clear" w:color="auto" w:fill="auto"/>
          <w:lang w:val="en-US" w:eastAsia="zh-CN" w:bidi="ar-SA"/>
        </w:rPr>
        <w:t>2.依申请公开：</w:t>
      </w:r>
      <w:r>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t>严格按照上级要求维护政府信息公开指南，及时关注线上线下等平台信息，保证各途径依申请公开渠道畅通有效，严格落实政府信息公开审核签发机制。本年度我镇未收到依申请公开政府信息的申请，无行政诉讼和行政复议情况发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pPr>
      <w:r>
        <w:rPr>
          <w:rFonts w:hint="default" w:ascii="楷体_GB2312" w:hAnsi="楷体_GB2312" w:eastAsia="楷体_GB2312" w:cs="楷体_GB2312"/>
          <w:b/>
          <w:bCs/>
          <w:color w:val="auto"/>
          <w:kern w:val="0"/>
          <w:sz w:val="32"/>
          <w:szCs w:val="32"/>
          <w:highlight w:val="none"/>
          <w:u w:val="none" w:color="auto"/>
          <w:shd w:val="clear" w:color="auto" w:fill="auto"/>
          <w:lang w:val="en-US" w:eastAsia="zh-CN" w:bidi="ar-SA"/>
        </w:rPr>
        <w:t>3.政府信息管理：</w:t>
      </w:r>
      <w:r>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t>一是对规范性文件格式进行规范调整，调整3件现行有效规范性文件网页版格式和下载版格式，确保与省市县要求一致；二是继续坚持执行信息发布审核，加强对个人隐私、重大表述错误等信息排查整改，全年未发生因信息审核把关不严导致负面舆情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pPr>
      <w:r>
        <w:rPr>
          <w:rFonts w:hint="default" w:ascii="楷体_GB2312" w:hAnsi="楷体_GB2312" w:eastAsia="楷体_GB2312" w:cs="楷体_GB2312"/>
          <w:b/>
          <w:bCs/>
          <w:color w:val="auto"/>
          <w:kern w:val="0"/>
          <w:sz w:val="32"/>
          <w:szCs w:val="32"/>
          <w:highlight w:val="none"/>
          <w:u w:val="none" w:color="auto"/>
          <w:shd w:val="clear" w:color="auto" w:fill="auto"/>
          <w:lang w:val="en-US" w:eastAsia="zh-CN" w:bidi="ar-SA"/>
        </w:rPr>
        <w:t>4.政府信息公开平台建设情况：</w:t>
      </w:r>
      <w:r>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t>结合政务公开专区开展法治宣传、就业政策咨询等活动，拓宽群众获取政府信息的渠道，切实增强服务群众意识。加大对村务公开的指导，完善政务公开专区建设，定期对线上、线下村务公开情况开展检查，确保各类信息应公开尽公开、应公开规范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pPr>
      <w:r>
        <w:rPr>
          <w:rFonts w:hint="default" w:ascii="楷体_GB2312" w:hAnsi="楷体_GB2312" w:eastAsia="楷体_GB2312" w:cs="楷体_GB2312"/>
          <w:b/>
          <w:bCs/>
          <w:color w:val="auto"/>
          <w:kern w:val="0"/>
          <w:sz w:val="32"/>
          <w:szCs w:val="32"/>
          <w:highlight w:val="none"/>
          <w:u w:val="none" w:color="auto"/>
          <w:shd w:val="clear" w:color="auto" w:fill="auto"/>
          <w:lang w:val="en-US" w:eastAsia="zh-CN" w:bidi="ar-SA"/>
        </w:rPr>
        <w:t>5.监督保障：</w:t>
      </w:r>
      <w:r>
        <w:rPr>
          <w:rFonts w:hint="default" w:ascii="仿宋_GB2312" w:hAnsi="仿宋_GB2312" w:eastAsia="仿宋_GB2312" w:cs="仿宋_GB2312"/>
          <w:b w:val="0"/>
          <w:bCs w:val="0"/>
          <w:color w:val="auto"/>
          <w:kern w:val="0"/>
          <w:sz w:val="32"/>
          <w:szCs w:val="32"/>
          <w:highlight w:val="none"/>
          <w:u w:val="none" w:color="auto"/>
          <w:shd w:val="clear" w:color="auto" w:fill="auto"/>
          <w:lang w:val="en-US" w:eastAsia="zh-CN" w:bidi="ar-SA"/>
        </w:rPr>
        <w:t>根据省市县政府信息公开部署安排，将政府信息公开工作纳入重要议事日程，全面梳理各栏目、各领域公开要素要求，坚持主要负责同志负总责，分管领导定期调度，党政办具体落实，责任部门协同配合。全年各季度监测结果总体保持良好上升势头，其中在市级第二季度测评中白塔畈镇取得26个被抽查乡镇第一的优异成绩，社会评议良好，且本年度未发生泄漏群众隐私、出现敏感错误信息、导致重大舆情，未产生责任追究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color w:val="auto"/>
          <w:kern w:val="0"/>
          <w:sz w:val="32"/>
          <w:szCs w:val="32"/>
          <w:highlight w:val="none"/>
          <w:u w:val="none" w:color="auto"/>
          <w:shd w:val="clear" w:color="auto" w:fill="auto"/>
        </w:rPr>
      </w:pPr>
      <w:r>
        <w:rPr>
          <w:rFonts w:hint="eastAsia" w:ascii="黑体" w:hAnsi="黑体" w:eastAsia="黑体" w:cs="黑体"/>
          <w:b w:val="0"/>
          <w:bCs/>
          <w:color w:val="auto"/>
          <w:kern w:val="0"/>
          <w:sz w:val="32"/>
          <w:szCs w:val="32"/>
          <w:highlight w:val="none"/>
          <w:u w:val="none" w:color="auto"/>
          <w:shd w:val="clear" w:color="auto" w:fill="auto"/>
        </w:rPr>
        <w:t>二、主动公开政府信息情况</w:t>
      </w:r>
    </w:p>
    <w:tbl>
      <w:tblPr>
        <w:tblStyle w:val="3"/>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现行有效件数</w:t>
            </w:r>
          </w:p>
        </w:tc>
      </w:tr>
      <w:tr>
        <w:tblPrEx>
          <w:tblLayout w:type="fixed"/>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val="en-US" w:eastAsia="zh-CN"/>
              </w:rPr>
              <w:t>0</w:t>
            </w:r>
            <w:r>
              <w:rPr>
                <w:rFonts w:hint="eastAsia" w:ascii="宋体" w:hAnsi="宋体" w:eastAsia="宋体" w:cs="宋体"/>
                <w:color w:val="auto"/>
                <w:kern w:val="0"/>
                <w:sz w:val="20"/>
                <w:szCs w:val="20"/>
                <w:highlight w:val="none"/>
                <w:u w:val="none" w:color="auto"/>
                <w:shd w:val="clear" w:color="auto" w:fill="auto"/>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val="en-US" w:eastAsia="zh-CN"/>
              </w:rPr>
              <w:t>3</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val="en-US" w:eastAsia="zh-CN"/>
              </w:rPr>
              <w:t>5</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仿宋_GB2312"/>
                <w:color w:val="auto"/>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20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tblPrEx>
          <w:tblLayout w:type="fixed"/>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lang w:val="en-US"/>
              </w:rPr>
            </w:pPr>
            <w:r>
              <w:rPr>
                <w:rFonts w:hint="eastAsia" w:ascii="宋体" w:hAnsi="宋体" w:eastAsia="宋体" w:cs="宋体"/>
                <w:color w:val="auto"/>
                <w:kern w:val="0"/>
                <w:sz w:val="20"/>
                <w:szCs w:val="20"/>
                <w:highlight w:val="none"/>
                <w:u w:val="none" w:color="auto"/>
                <w:shd w:val="clear" w:color="auto" w:fill="auto"/>
                <w:lang w:val="en-US" w:eastAsia="zh-CN"/>
              </w:rPr>
              <w:t>18</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仿宋_GB2312"/>
                <w:color w:val="auto"/>
                <w:sz w:val="24"/>
                <w:szCs w:val="24"/>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r>
    </w:tbl>
    <w:p>
      <w:pPr>
        <w:widowControl/>
        <w:jc w:val="left"/>
        <w:rPr>
          <w:color w:val="auto"/>
          <w:highlight w:val="none"/>
          <w:u w:val="none" w:color="auto"/>
          <w:shd w:val="clear" w:color="auto" w:fill="auto"/>
        </w:rPr>
      </w:pPr>
    </w:p>
    <w:p>
      <w:pPr>
        <w:widowControl/>
        <w:shd w:val="clear" w:color="auto" w:fill="FFFFFF"/>
        <w:ind w:firstLine="480"/>
        <w:rPr>
          <w:rFonts w:hint="default" w:ascii="黑体" w:hAnsi="黑体" w:eastAsia="黑体" w:cs="黑体"/>
          <w:b w:val="0"/>
          <w:bCs/>
          <w:color w:val="auto"/>
          <w:kern w:val="0"/>
          <w:sz w:val="32"/>
          <w:szCs w:val="32"/>
          <w:highlight w:val="none"/>
          <w:u w:val="none" w:color="auto"/>
          <w:shd w:val="clear" w:color="auto" w:fill="auto"/>
        </w:rPr>
      </w:pPr>
      <w:r>
        <w:rPr>
          <w:rFonts w:hint="eastAsia" w:ascii="黑体" w:hAnsi="黑体" w:eastAsia="黑体" w:cs="黑体"/>
          <w:b w:val="0"/>
          <w:bCs/>
          <w:color w:val="auto"/>
          <w:kern w:val="0"/>
          <w:sz w:val="32"/>
          <w:szCs w:val="32"/>
          <w:highlight w:val="none"/>
          <w:u w:val="none" w:color="auto"/>
          <w:shd w:val="clear" w:color="auto" w:fill="auto"/>
        </w:rPr>
        <w:t>三、收到和处理政府信息公开申请情况</w:t>
      </w:r>
    </w:p>
    <w:p>
      <w:pPr>
        <w:pStyle w:val="4"/>
        <w:widowControl/>
        <w:shd w:val="clear" w:color="auto" w:fill="FFFFFF"/>
        <w:spacing w:before="0" w:beforeAutospacing="0" w:after="0" w:afterAutospacing="0"/>
        <w:ind w:firstLine="420"/>
        <w:jc w:val="both"/>
        <w:rPr>
          <w:rFonts w:hint="default" w:ascii="宋体" w:hAnsi="宋体" w:eastAsia="宋体" w:cs="宋体"/>
          <w:color w:val="auto"/>
          <w:szCs w:val="24"/>
          <w:highlight w:val="none"/>
          <w:u w:val="none" w:color="auto"/>
          <w:shd w:val="clear" w:color="auto" w:fill="auto"/>
        </w:rPr>
      </w:pPr>
    </w:p>
    <w:tbl>
      <w:tblPr>
        <w:tblStyle w:val="3"/>
        <w:tblW w:w="974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jc w:val="left"/>
              <w:rPr>
                <w:color w:val="auto"/>
                <w:highlight w:val="none"/>
                <w:u w:val="none" w:color="auto"/>
                <w:shd w:val="clear" w:color="auto" w:fill="auto"/>
              </w:rPr>
            </w:pPr>
            <w:r>
              <w:rPr>
                <w:rFonts w:hint="default" w:ascii="楷体" w:hAnsi="楷体" w:eastAsia="楷体" w:cs="楷体"/>
                <w:color w:val="auto"/>
                <w:kern w:val="0"/>
                <w:sz w:val="20"/>
                <w:szCs w:val="20"/>
                <w:highlight w:val="none"/>
                <w:u w:val="none" w:color="auto"/>
                <w:shd w:val="clear" w:color="auto" w:fill="auto"/>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宋体"/>
                <w:color w:val="auto"/>
                <w:sz w:val="24"/>
                <w:szCs w:val="24"/>
                <w:highlight w:val="none"/>
                <w:u w:val="none" w:color="auto"/>
                <w:shd w:val="clear" w:color="auto" w:fill="auto"/>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自然人</w:t>
            </w:r>
          </w:p>
        </w:tc>
        <w:tc>
          <w:tcPr>
            <w:tcW w:w="344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宋体"/>
                <w:color w:val="auto"/>
                <w:sz w:val="24"/>
                <w:szCs w:val="24"/>
                <w:highlight w:val="none"/>
                <w:u w:val="none" w:color="auto"/>
                <w:shd w:val="clear" w:color="auto" w:fill="auto"/>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68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商业</w:t>
            </w:r>
          </w:p>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企业</w:t>
            </w:r>
          </w:p>
        </w:tc>
        <w:tc>
          <w:tcPr>
            <w:tcW w:w="68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科研</w:t>
            </w:r>
          </w:p>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社会公益组织</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法律服务机构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p>
        </w:tc>
        <w:tc>
          <w:tcPr>
            <w:tcW w:w="688" w:type="dxa"/>
            <w:vMerge w:val="continue"/>
            <w:tcBorders>
              <w:top w:val="single" w:color="auto" w:sz="8" w:space="0"/>
              <w:left w:val="nil"/>
              <w:bottom w:val="outset" w:color="auto" w:sz="8" w:space="0"/>
              <w:right w:val="single" w:color="auto" w:sz="8" w:space="0"/>
            </w:tcBorders>
            <w:noWrap w:val="0"/>
            <w:tcMar>
              <w:left w:w="108" w:type="dxa"/>
              <w:right w:w="108" w:type="dxa"/>
            </w:tcMar>
            <w:vAlign w:val="center"/>
          </w:tcPr>
          <w:p>
            <w:pPr>
              <w:rPr>
                <w:rFonts w:hint="default" w:ascii="宋体"/>
                <w:color w:val="auto"/>
                <w:sz w:val="24"/>
                <w:szCs w:val="24"/>
                <w:highlight w:val="none"/>
                <w:u w:val="none" w:color="auto"/>
                <w:shd w:val="clear" w:color="auto" w:fil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ajorEastAsia" w:hAnsiTheme="majorEastAsia" w:eastAsiaTheme="majorEastAsia" w:cstheme="majorEastAsia"/>
                <w:color w:val="auto"/>
                <w:highlight w:val="none"/>
                <w:u w:val="none" w:color="auto"/>
                <w:shd w:val="clear" w:color="auto" w:fill="auto"/>
                <w:lang w:val="en-US" w:eastAsia="zh-CN"/>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ajorEastAsia" w:hAnsiTheme="majorEastAsia" w:eastAsiaTheme="majorEastAsia" w:cstheme="majorEastAsia"/>
                <w:color w:val="auto"/>
                <w:highlight w:val="none"/>
                <w:u w:val="none" w:color="auto"/>
                <w:shd w:val="clear" w:color="auto" w:fill="auto"/>
                <w:lang w:eastAsia="zh-CN"/>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ajorEastAsia" w:hAnsiTheme="majorEastAsia" w:eastAsiaTheme="majorEastAsia" w:cstheme="majorEastAsia"/>
                <w:color w:val="auto"/>
                <w:highlight w:val="none"/>
                <w:u w:val="none" w:color="auto"/>
                <w:shd w:val="clear" w:color="auto" w:fill="auto"/>
                <w:lang w:eastAsia="zh-CN"/>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ajorEastAsia" w:hAnsiTheme="majorEastAsia" w:eastAsiaTheme="majorEastAsia" w:cstheme="majorEastAsia"/>
                <w:color w:val="auto"/>
                <w:highlight w:val="none"/>
                <w:u w:val="none" w:color="auto"/>
                <w:shd w:val="clear" w:color="auto" w:fill="auto"/>
                <w:lang w:eastAsia="zh-CN"/>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ajorEastAsia" w:hAnsiTheme="majorEastAsia" w:eastAsiaTheme="majorEastAsia" w:cstheme="majorEastAsia"/>
                <w:color w:val="auto"/>
                <w:highlight w:val="none"/>
                <w:u w:val="none" w:color="auto"/>
                <w:shd w:val="clear" w:color="auto" w:fill="auto"/>
                <w:lang w:eastAsia="zh-CN"/>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ajorEastAsia" w:hAnsiTheme="majorEastAsia" w:eastAsiaTheme="majorEastAsia" w:cstheme="majorEastAsia"/>
                <w:color w:val="auto"/>
                <w:highlight w:val="none"/>
                <w:u w:val="none" w:color="auto"/>
                <w:shd w:val="clear" w:color="auto" w:fill="auto"/>
                <w:lang w:eastAsia="zh-CN"/>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ajorEastAsia" w:hAnsiTheme="majorEastAsia" w:eastAsiaTheme="majorEastAsia" w:cstheme="majorEastAsia"/>
                <w:color w:val="auto"/>
                <w:highlight w:val="none"/>
                <w:u w:val="none" w:color="auto"/>
                <w:shd w:val="clear" w:color="auto" w:fill="auto"/>
                <w:lang w:eastAsia="zh-CN"/>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（二）部分公开</w:t>
            </w:r>
            <w:r>
              <w:rPr>
                <w:rFonts w:hint="eastAsia" w:ascii="楷体" w:hAnsi="楷体" w:eastAsia="楷体" w:cs="楷体"/>
                <w:color w:val="auto"/>
                <w:kern w:val="0"/>
                <w:sz w:val="20"/>
                <w:szCs w:val="20"/>
                <w:highlight w:val="none"/>
                <w:u w:val="none" w:color="auto"/>
                <w:shd w:val="clear" w:color="auto" w:fill="auto"/>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eastAsia" w:eastAsia="宋体"/>
                <w:color w:val="auto"/>
                <w:highlight w:val="none"/>
                <w:u w:val="none" w:color="auto"/>
                <w:shd w:val="clear" w:color="auto" w:fill="auto"/>
                <w:lang w:eastAsia="zh-CN"/>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.危及</w:t>
            </w:r>
            <w:r>
              <w:rPr>
                <w:rFonts w:hint="eastAsia" w:ascii="宋体" w:hAnsi="宋体" w:eastAsia="宋体" w:cs="宋体"/>
                <w:color w:val="auto"/>
                <w:kern w:val="0"/>
                <w:sz w:val="20"/>
                <w:szCs w:val="20"/>
                <w:highlight w:val="none"/>
                <w:u w:val="none" w:color="auto"/>
                <w:shd w:val="clear" w:color="auto" w:fill="auto"/>
                <w:lang w:eastAsia="zh-CN"/>
              </w:rPr>
              <w:t>“</w:t>
            </w:r>
            <w:r>
              <w:rPr>
                <w:rFonts w:hint="eastAsia" w:ascii="宋体" w:hAnsi="宋体" w:eastAsia="宋体" w:cs="宋体"/>
                <w:color w:val="auto"/>
                <w:kern w:val="0"/>
                <w:sz w:val="20"/>
                <w:szCs w:val="20"/>
                <w:highlight w:val="none"/>
                <w:u w:val="none" w:color="auto"/>
                <w:shd w:val="clear" w:color="auto" w:fill="auto"/>
              </w:rPr>
              <w:t>三安全一稳定</w:t>
            </w:r>
            <w:r>
              <w:rPr>
                <w:rFonts w:hint="eastAsia" w:ascii="宋体" w:hAnsi="宋体" w:eastAsia="宋体" w:cs="宋体"/>
                <w:color w:val="auto"/>
                <w:kern w:val="0"/>
                <w:sz w:val="20"/>
                <w:szCs w:val="20"/>
                <w:highlight w:val="none"/>
                <w:u w:val="none" w:color="auto"/>
                <w:shd w:val="clear" w:color="auto" w:fill="auto"/>
                <w:lang w:eastAsia="zh-CN"/>
              </w:rPr>
              <w:t>”</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6</w:t>
            </w:r>
            <w:r>
              <w:rPr>
                <w:rFonts w:hint="eastAsia" w:ascii="宋体" w:hAnsi="宋体" w:eastAsia="宋体" w:cs="宋体"/>
                <w:color w:val="auto"/>
                <w:kern w:val="0"/>
                <w:sz w:val="20"/>
                <w:szCs w:val="20"/>
                <w:highlight w:val="none"/>
                <w:u w:val="none" w:color="auto"/>
                <w:shd w:val="clear" w:color="auto" w:fill="auto"/>
              </w:rPr>
              <w:t>.属于四类过程性信息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7</w:t>
            </w:r>
            <w:r>
              <w:rPr>
                <w:rFonts w:hint="eastAsia" w:ascii="宋体" w:hAnsi="宋体" w:eastAsia="宋体" w:cs="宋体"/>
                <w:color w:val="auto"/>
                <w:kern w:val="0"/>
                <w:sz w:val="20"/>
                <w:szCs w:val="20"/>
                <w:highlight w:val="none"/>
                <w:u w:val="none" w:color="auto"/>
                <w:shd w:val="clear" w:color="auto" w:fill="auto"/>
              </w:rPr>
              <w:t>.属于行政执法案卷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8</w:t>
            </w:r>
            <w:r>
              <w:rPr>
                <w:rFonts w:hint="eastAsia" w:ascii="宋体" w:hAnsi="宋体" w:eastAsia="宋体" w:cs="宋体"/>
                <w:color w:val="auto"/>
                <w:kern w:val="0"/>
                <w:sz w:val="20"/>
                <w:szCs w:val="20"/>
                <w:highlight w:val="none"/>
                <w:u w:val="none" w:color="auto"/>
                <w:shd w:val="clear" w:color="auto" w:fill="auto"/>
              </w:rPr>
              <w:t>.属于行政查询事项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widowControl/>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rPr>
              <w:t> </w:t>
            </w: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宋体"/>
                <w:color w:val="auto"/>
                <w:sz w:val="24"/>
                <w:szCs w:val="24"/>
                <w:highlight w:val="none"/>
                <w:u w:val="none" w:color="auto"/>
                <w:shd w:val="clear" w:color="auto" w:fill="auto"/>
              </w:rPr>
            </w:pPr>
            <w:r>
              <w:rPr>
                <w:rFonts w:hint="eastAsia" w:asciiTheme="majorEastAsia" w:hAnsiTheme="majorEastAsia" w:eastAsiaTheme="majorEastAsia" w:cstheme="majorEastAsia"/>
                <w:color w:val="auto"/>
                <w:kern w:val="0"/>
                <w:sz w:val="20"/>
                <w:szCs w:val="20"/>
                <w:highlight w:val="none"/>
                <w:u w:val="none" w:color="auto"/>
                <w:shd w:val="clear" w:color="auto" w:fill="auto"/>
                <w:lang w:val="en-US" w:eastAsia="zh-CN"/>
              </w:rPr>
              <w:t>0</w:t>
            </w:r>
          </w:p>
        </w:tc>
      </w:tr>
    </w:tbl>
    <w:p>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p>
      <w:pPr>
        <w:widowControl/>
        <w:shd w:val="clear" w:color="auto" w:fill="FFFFFF"/>
        <w:ind w:firstLine="480"/>
        <w:rPr>
          <w:rFonts w:hint="default" w:ascii="黑体" w:hAnsi="黑体" w:eastAsia="黑体" w:cs="黑体"/>
          <w:b w:val="0"/>
          <w:bCs/>
          <w:color w:val="auto"/>
          <w:kern w:val="0"/>
          <w:sz w:val="32"/>
          <w:szCs w:val="32"/>
          <w:highlight w:val="none"/>
          <w:u w:val="none" w:color="auto"/>
          <w:shd w:val="clear" w:color="auto" w:fill="auto"/>
        </w:rPr>
      </w:pPr>
      <w:r>
        <w:rPr>
          <w:rFonts w:hint="eastAsia" w:ascii="黑体" w:hAnsi="黑体" w:eastAsia="黑体" w:cs="黑体"/>
          <w:b w:val="0"/>
          <w:bCs/>
          <w:color w:val="auto"/>
          <w:kern w:val="0"/>
          <w:sz w:val="32"/>
          <w:szCs w:val="32"/>
          <w:highlight w:val="none"/>
          <w:u w:val="none" w:color="auto"/>
          <w:shd w:val="clear" w:color="auto" w:fill="auto"/>
        </w:rPr>
        <w:t>四、政府信息公开行政复议、行政诉讼情况</w:t>
      </w:r>
    </w:p>
    <w:p>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tbl>
      <w:tblPr>
        <w:tblStyle w:val="3"/>
        <w:tblW w:w="9743"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color w:val="auto"/>
                <w:sz w:val="24"/>
                <w:szCs w:val="24"/>
                <w:highlight w:val="none"/>
                <w:u w:val="none" w:color="auto"/>
                <w:shd w:val="clear" w:color="auto" w:fill="auto"/>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color w:val="auto"/>
                <w:sz w:val="24"/>
                <w:szCs w:val="24"/>
                <w:highlight w:val="none"/>
                <w:u w:val="none" w:color="auto"/>
                <w:shd w:val="clear" w:color="auto" w:fill="auto"/>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color w:val="auto"/>
                <w:highlight w:val="none"/>
                <w:u w:val="none" w:color="auto"/>
                <w:shd w:val="clear" w:color="auto" w:fill="auto"/>
                <w:lang w:eastAsia="zh-CN"/>
              </w:rPr>
            </w:pPr>
            <w:r>
              <w:rPr>
                <w:rFonts w:hint="eastAsia" w:asciiTheme="minorEastAsia" w:hAnsiTheme="minorEastAsia" w:eastAsiaTheme="minorEastAsia" w:cstheme="minorEastAsia"/>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heme="minorEastAsia" w:hAnsiTheme="minorEastAsia" w:eastAsiaTheme="minorEastAsia" w:cstheme="minorEastAsia"/>
                <w:color w:val="auto"/>
                <w:sz w:val="24"/>
                <w:szCs w:val="24"/>
                <w:highlight w:val="none"/>
                <w:u w:val="none" w:color="auto"/>
                <w:shd w:val="clear" w:color="auto" w:fill="auto"/>
                <w:lang w:val="en-US" w:eastAsia="zh-CN"/>
              </w:rPr>
            </w:pPr>
            <w:r>
              <w:rPr>
                <w:rFonts w:hint="eastAsia" w:asciiTheme="minorEastAsia" w:hAnsiTheme="minorEastAsia" w:eastAsiaTheme="minorEastAsia" w:cstheme="minorEastAsia"/>
                <w:color w:val="auto"/>
                <w:sz w:val="24"/>
                <w:szCs w:val="24"/>
                <w:highlight w:val="none"/>
                <w:u w:val="none" w:color="auto"/>
                <w:shd w:val="clear" w:color="auto" w:fill="auto"/>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color w:val="auto"/>
          <w:kern w:val="0"/>
          <w:sz w:val="32"/>
          <w:szCs w:val="32"/>
          <w:highlight w:val="none"/>
          <w:u w:val="none" w:color="auto"/>
          <w:shd w:val="clear" w:color="auto" w:fill="auto"/>
        </w:rPr>
      </w:pPr>
      <w:r>
        <w:rPr>
          <w:rFonts w:hint="eastAsia" w:ascii="黑体" w:hAnsi="黑体" w:eastAsia="黑体" w:cs="黑体"/>
          <w:b w:val="0"/>
          <w:bCs/>
          <w:color w:val="auto"/>
          <w:kern w:val="0"/>
          <w:sz w:val="32"/>
          <w:szCs w:val="32"/>
          <w:highlight w:val="none"/>
          <w:u w:val="none" w:color="auto"/>
          <w:shd w:val="clear" w:color="auto" w:fill="auto"/>
        </w:rPr>
        <w:t>五、存在的主要问题及改进情况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pPr>
      <w:r>
        <w:rPr>
          <w:rFonts w:hint="eastAsia" w:ascii="楷体_GB2312" w:hAnsi="楷体_GB2312" w:eastAsia="楷体_GB2312" w:cs="楷体_GB2312"/>
          <w:b/>
          <w:bCs/>
          <w:color w:val="auto"/>
          <w:sz w:val="32"/>
          <w:szCs w:val="32"/>
          <w:highlight w:val="none"/>
          <w:u w:val="none" w:color="auto"/>
          <w:shd w:val="clear" w:color="auto" w:fill="auto"/>
          <w:lang w:val="en-US" w:eastAsia="zh-CN"/>
        </w:rPr>
        <w:t>1.上年度存在问题整改情况。</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2023年，我镇继续加大对政务公开工作的支持力度，强化对信息公开经办人员的保障措施，确保能够在规定时间内及时公开信息。同时要求各信息产生部门指定专人搜集信息，并按政务公开要求进行初步处理，加强与政务公开办沟通对接，确保信息产生后及时交由经办人员处理发布，减轻经办人员负担，提高工作效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pPr>
      <w:r>
        <w:rPr>
          <w:rFonts w:hint="eastAsia" w:ascii="楷体_GB2312" w:hAnsi="楷体_GB2312" w:eastAsia="楷体_GB2312" w:cs="楷体_GB2312"/>
          <w:b/>
          <w:bCs/>
          <w:color w:val="auto"/>
          <w:sz w:val="32"/>
          <w:szCs w:val="32"/>
          <w:highlight w:val="none"/>
          <w:u w:val="none" w:color="auto"/>
          <w:shd w:val="clear" w:color="auto" w:fill="auto"/>
          <w:lang w:val="en-US" w:eastAsia="zh-CN"/>
        </w:rPr>
        <w:t>2.当前存在的主要问题。</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规范性文件网页版式和下载版式与前期要求有所不同，且考评比重较大，目前规范性文件格式以及有效性标注等问题是我们今后工作需要解决的主要问题。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pPr>
      <w:bookmarkStart w:id="0" w:name="_GoBack"/>
      <w:bookmarkEnd w:id="0"/>
      <w:r>
        <w:rPr>
          <w:rFonts w:hint="eastAsia" w:ascii="楷体_GB2312" w:hAnsi="楷体_GB2312" w:eastAsia="楷体_GB2312" w:cs="楷体_GB2312"/>
          <w:b/>
          <w:bCs/>
          <w:color w:val="auto"/>
          <w:sz w:val="32"/>
          <w:szCs w:val="32"/>
          <w:highlight w:val="none"/>
          <w:u w:val="none" w:color="auto"/>
          <w:shd w:val="clear" w:color="auto" w:fill="auto"/>
          <w:lang w:val="en-US" w:eastAsia="zh-CN"/>
        </w:rPr>
        <w:t>3.下一步改进措施。</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为切实提高我镇政务公开水平，实现全面提升无短板、争先进位创示范的目标，我们将采取积极措施不断提升经办人员水平，坚持文件公开前由专人严格审查格式、成文日期和有效期等细节性问题，确保公开要素齐全，内容格式规范，以高标准、严要求不断将我镇政务公开工作推入新高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color w:val="auto"/>
          <w:kern w:val="0"/>
          <w:sz w:val="32"/>
          <w:szCs w:val="32"/>
          <w:highlight w:val="none"/>
          <w:u w:val="none" w:color="auto"/>
          <w:shd w:val="clear" w:color="auto" w:fill="auto"/>
        </w:rPr>
      </w:pPr>
      <w:r>
        <w:rPr>
          <w:rFonts w:hint="eastAsia" w:ascii="黑体" w:hAnsi="黑体" w:eastAsia="黑体" w:cs="黑体"/>
          <w:b w:val="0"/>
          <w:bCs/>
          <w:color w:val="auto"/>
          <w:kern w:val="0"/>
          <w:sz w:val="32"/>
          <w:szCs w:val="32"/>
          <w:highlight w:val="none"/>
          <w:u w:val="none" w:color="auto"/>
          <w:shd w:val="clear" w:color="auto" w:fill="auto"/>
        </w:rPr>
        <w:t>六、其他需要报告的事项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ascii="仿宋_GB2312" w:hAnsi="仿宋_GB2312" w:eastAsia="仿宋_GB2312" w:cs="仿宋_GB2312"/>
          <w:color w:val="auto"/>
          <w:sz w:val="32"/>
          <w:szCs w:val="32"/>
          <w:highlight w:val="none"/>
          <w:u w:val="none" w:color="auto"/>
          <w:shd w:val="clear" w:color="auto" w:fill="auto"/>
          <w:lang w:val="en-US" w:eastAsia="zh-CN"/>
        </w:rPr>
        <w:t>按照《国务院办公厅关于印发〈政府信息公开信息处理费管理办法〉的通知》（国办函〔</w:t>
      </w:r>
      <w:r>
        <w:rPr>
          <w:rFonts w:hint="default" w:ascii="仿宋_GB2312" w:hAnsi="仿宋_GB2312" w:eastAsia="仿宋_GB2312" w:cs="仿宋_GB2312"/>
          <w:color w:val="auto"/>
          <w:sz w:val="32"/>
          <w:szCs w:val="32"/>
          <w:highlight w:val="none"/>
          <w:u w:val="none" w:color="auto"/>
          <w:shd w:val="clear" w:color="auto" w:fill="auto"/>
          <w:lang w:val="en-US" w:eastAsia="zh-CN"/>
        </w:rPr>
        <w:t>2020</w:t>
      </w:r>
      <w:r>
        <w:rPr>
          <w:rFonts w:hint="eastAsia" w:ascii="仿宋_GB2312" w:hAnsi="仿宋_GB2312" w:eastAsia="仿宋_GB2312" w:cs="仿宋_GB2312"/>
          <w:color w:val="auto"/>
          <w:sz w:val="32"/>
          <w:szCs w:val="32"/>
          <w:highlight w:val="none"/>
          <w:u w:val="none" w:color="auto"/>
          <w:shd w:val="clear" w:color="auto" w:fill="auto"/>
          <w:lang w:val="en-US" w:eastAsia="zh-CN"/>
        </w:rPr>
        <w:t>〕</w:t>
      </w:r>
      <w:r>
        <w:rPr>
          <w:rFonts w:hint="default" w:ascii="仿宋_GB2312" w:hAnsi="仿宋_GB2312" w:eastAsia="仿宋_GB2312" w:cs="仿宋_GB2312"/>
          <w:color w:val="auto"/>
          <w:sz w:val="32"/>
          <w:szCs w:val="32"/>
          <w:highlight w:val="none"/>
          <w:u w:val="none" w:color="auto"/>
          <w:shd w:val="clear" w:color="auto" w:fill="auto"/>
          <w:lang w:val="en-US" w:eastAsia="zh-CN"/>
        </w:rPr>
        <w:t>109</w:t>
      </w:r>
      <w:r>
        <w:rPr>
          <w:rFonts w:hint="eastAsia" w:ascii="仿宋_GB2312" w:hAnsi="仿宋_GB2312" w:eastAsia="仿宋_GB2312" w:cs="仿宋_GB2312"/>
          <w:color w:val="auto"/>
          <w:sz w:val="32"/>
          <w:szCs w:val="32"/>
          <w:highlight w:val="none"/>
          <w:u w:val="none" w:color="auto"/>
          <w:shd w:val="clear" w:color="auto" w:fill="auto"/>
          <w:lang w:val="en-US" w:eastAsia="zh-CN"/>
        </w:rPr>
        <w:t>号）规定的按件、按量收费标准，本年度没有产生信息公开处理费”。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40" w:rightChars="200" w:firstLine="640" w:firstLineChars="200"/>
        <w:jc w:val="right"/>
        <w:textAlignment w:val="auto"/>
        <w:outlineLvl w:val="9"/>
        <w:rPr>
          <w:rFonts w:hint="eastAsia"/>
          <w:sz w:val="32"/>
          <w:szCs w:val="32"/>
          <w:lang w:eastAsia="zh-CN"/>
        </w:rPr>
      </w:pPr>
      <w:r>
        <w:rPr>
          <w:rFonts w:hint="eastAsia"/>
          <w:sz w:val="32"/>
          <w:szCs w:val="32"/>
          <w:lang w:eastAsia="zh-CN"/>
        </w:rPr>
        <w:t>金寨县白塔畈镇人民政府</w:t>
      </w:r>
    </w:p>
    <w:p>
      <w:pPr>
        <w:keepNext w:val="0"/>
        <w:keepLines w:val="0"/>
        <w:pageBreakBefore w:val="0"/>
        <w:widowControl w:val="0"/>
        <w:kinsoku/>
        <w:wordWrap/>
        <w:overflowPunct/>
        <w:topLinePunct w:val="0"/>
        <w:autoSpaceDE/>
        <w:autoSpaceDN/>
        <w:bidi w:val="0"/>
        <w:adjustRightInd/>
        <w:snapToGrid/>
        <w:spacing w:line="560" w:lineRule="exact"/>
        <w:ind w:right="1120" w:rightChars="350" w:firstLine="640" w:firstLineChars="200"/>
        <w:jc w:val="right"/>
        <w:textAlignment w:val="auto"/>
        <w:outlineLvl w:val="9"/>
        <w:rPr>
          <w:rFonts w:hint="eastAsia"/>
          <w:sz w:val="32"/>
          <w:szCs w:val="32"/>
          <w:lang w:val="en-US" w:eastAsia="zh-CN"/>
        </w:rPr>
      </w:pPr>
      <w:r>
        <w:rPr>
          <w:rFonts w:hint="eastAsia"/>
          <w:sz w:val="32"/>
          <w:szCs w:val="32"/>
          <w:lang w:val="en-US" w:eastAsia="zh-CN"/>
        </w:rPr>
        <w:t>2024年1月22日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ZmIzZGM0YzRiN2ZiZDEyNDliODVkYmI3ODQzY2IifQ=="/>
    <w:docVar w:name="KSO_WPS_MARK_KEY" w:val="be17ecf8-2056-4c4c-8741-b1c00771e30e"/>
  </w:docVars>
  <w:rsids>
    <w:rsidRoot w:val="2D2D2A3B"/>
    <w:rsid w:val="01474D22"/>
    <w:rsid w:val="05F86B49"/>
    <w:rsid w:val="0ACF4360"/>
    <w:rsid w:val="0DDB243E"/>
    <w:rsid w:val="0FEDD8FD"/>
    <w:rsid w:val="102624D2"/>
    <w:rsid w:val="169237EC"/>
    <w:rsid w:val="208E48B4"/>
    <w:rsid w:val="24515F43"/>
    <w:rsid w:val="26325764"/>
    <w:rsid w:val="290710AA"/>
    <w:rsid w:val="2CC52F46"/>
    <w:rsid w:val="2D2D2A3B"/>
    <w:rsid w:val="2D2F16D2"/>
    <w:rsid w:val="2FE458AA"/>
    <w:rsid w:val="32CB07B9"/>
    <w:rsid w:val="35DE4E6E"/>
    <w:rsid w:val="38377188"/>
    <w:rsid w:val="39B52927"/>
    <w:rsid w:val="3B1B1A65"/>
    <w:rsid w:val="45527299"/>
    <w:rsid w:val="460E66CD"/>
    <w:rsid w:val="491F43FD"/>
    <w:rsid w:val="4A1D3E10"/>
    <w:rsid w:val="4B73569B"/>
    <w:rsid w:val="4DA85D52"/>
    <w:rsid w:val="4F395A9C"/>
    <w:rsid w:val="4F8634E8"/>
    <w:rsid w:val="570D22D9"/>
    <w:rsid w:val="57214C7C"/>
    <w:rsid w:val="5B60618F"/>
    <w:rsid w:val="5E1F6ACD"/>
    <w:rsid w:val="5FA47B4F"/>
    <w:rsid w:val="5FD22373"/>
    <w:rsid w:val="67DB1E99"/>
    <w:rsid w:val="683E5863"/>
    <w:rsid w:val="693B460A"/>
    <w:rsid w:val="6B7F3A29"/>
    <w:rsid w:val="6BDD7EEF"/>
    <w:rsid w:val="6DD54F41"/>
    <w:rsid w:val="6DDC03E8"/>
    <w:rsid w:val="719633E3"/>
    <w:rsid w:val="74DDE45D"/>
    <w:rsid w:val="75C532B2"/>
    <w:rsid w:val="76B77331"/>
    <w:rsid w:val="787D68DD"/>
    <w:rsid w:val="79170774"/>
    <w:rsid w:val="7C604753"/>
    <w:rsid w:val="AB56F591"/>
    <w:rsid w:val="DDB3048E"/>
    <w:rsid w:val="EDFFEA2F"/>
    <w:rsid w:val="F55209A6"/>
    <w:rsid w:val="FDED8D39"/>
    <w:rsid w:val="FFFB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 (Web)"/>
    <w:basedOn w:val="1"/>
    <w:qFormat/>
    <w:uiPriority w:val="0"/>
    <w:pPr>
      <w:spacing w:before="100" w:beforeAutospacing="1" w:after="100" w:afterAutospacing="1"/>
      <w:jc w:val="left"/>
    </w:pPr>
    <w:rPr>
      <w:rFonts w:hAnsi="Times New Roman"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2574</Words>
  <Characters>2738</Characters>
  <Lines>0</Lines>
  <Paragraphs>0</Paragraphs>
  <TotalTime>16</TotalTime>
  <ScaleCrop>false</ScaleCrop>
  <LinksUpToDate>false</LinksUpToDate>
  <CharactersWithSpaces>2764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2024-01-18T02:11:00Z</dcterms:created>
  <dc:creator>-金</dc:creator>
  <cp:lastModifiedBy>Administrator</cp:lastModifiedBy>
  <dcterms:modified xsi:type="dcterms:W3CDTF">2024-02-21T00:24:53Z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98D44B9B337C471286BBA684ADD3032A</vt:lpwstr>
  </property>
</Properties>
</file>