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金寨县统计局2022年政府信息公开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工作年</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度报告</w:t>
      </w:r>
    </w:p>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本报告依据《中华人民共和国政府信息公开条例》（国务院令第711号，以下简称（新《条例》)和《六安市政务公开办公室关于做好2022年度政府信息公开年度报告编制和发布工作的通知》(六政务公开办〔2022〕53号)要求编制而成。报告主要包括：总体情况、行政机关主动公开政府信息情况、收到和处理政府信息公开申请情况、政府信息公开行政复议、行政诉讼情况、政府信息公开工作存在的主要问题及改进情况和其他需要报告的事项。本报告中使用数据统计期限为2022年1月1日至12月31日，报告的电子版可在金寨县信息公开（https://www.ahjinzhai.gov.cn/public/content/36023672?shareKey=935111f3aea94d11ad60936d43a0c910）下载。如对本报告有任何疑问，请与金寨县统计局办公室联系（地址：金寨县行政中心216室，电话：0564--7356340，邮编：237300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1.主动公开情况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今年以来，我局加大重点领域政务公开力度，及时发布统计信息、统计公报、经济运行情况等重点信息，有力地保障了公众的知情权和监督权。</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一是主动公开</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，2022年，我局在政务公开网站主动公开信息211条，其中，政策法规类10条、财</w:t>
      </w: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政资金27条、行政权力运行22条、本级政策解读46条、监</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督保障13条等；收到书记信箱5件、依申请公开2件，办结率100%；</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二是重点领域</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全年通过政府网站“经济和社会发展统计信息”栏目发布统计公报、月度资料、数据分析、解读文章等共26条，通过图表以及文字和图表相结合等形式，分析经济运行的特点和趋势，进一步提升解读的针对性、深度和质量，为社会各界全面客观准确把握经济形势提供重要参考；</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三是“两化”专题</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，落实市、县目录指引，新增“统计”领域，完善栏目设置，转发国家、省市统计部门制定的各类统计制度共35条，发布统计法律法规16条，我县各类统计数据共48</w:t>
      </w: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条，确保统计工作、数据信息及重大普查成果能更好地服务社</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2.依申请公开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2022年金寨县统计局认真贯彻落实《条例》相关要求，建立健全依申请公开工作机制，不断规范受理依申请公开程序。积极回应人民群众对于政府信息公开的需求，依法依规办理。在受理依申请公开过程中，不断加强与申请人之间的沟通，精准了解群众诉求。本年度，我局共受理依申请信息公开2件，均已依法依规进行了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3.政府信息管理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通过运用多种便于公众知晓的信息公开形式，我局为社会公众提供了方便快捷的统计服务，做好政府信息公开保密审查和发布工作。同时明确了“三审”责任制，明确工作责任、工作流程和工作纪律，建立信息发布审核登记备案制度，将发布信息逐一登记，按照“谁审核，谁负责”的原则，对发布的信息存在虚假、严重失实或舆论导向发生重大偏差的将严肃处理并公开通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4.政府信息公开平台建设情况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日常工作中，我局以县政府门户网站为载体，拓宽信息公开渠道，加大宣传力度，发挥统计部门职能优势,及时更新政策解读、同时及时公开统计数据和工作动态，确保政府信息公开工作依法有序开展。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5.监督保障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强化“一把手挂帅、副职领导具体抓、责任到股室、落实到个人”的工作机制，形成纵到底、横到边、上下联动、整体推进的工作体系。对县政府信息公开办的监督和指导，认真对照问题进行整改。并将政府信息公开工作纳入年终考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二、主动公开政府信息情况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 </w:t>
      </w:r>
    </w:p>
    <w:tbl>
      <w:tblPr>
        <w:tblStyle w:val="6"/>
        <w:tblW w:w="89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52"/>
        <w:gridCol w:w="2177"/>
        <w:gridCol w:w="2177"/>
        <w:gridCol w:w="2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983"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17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17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17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规章</w:t>
            </w:r>
          </w:p>
        </w:tc>
        <w:tc>
          <w:tcPr>
            <w:tcW w:w="217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0</w:t>
            </w:r>
          </w:p>
        </w:tc>
        <w:tc>
          <w:tcPr>
            <w:tcW w:w="217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17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行政规范性文件</w:t>
            </w:r>
          </w:p>
        </w:tc>
        <w:tc>
          <w:tcPr>
            <w:tcW w:w="217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0</w:t>
            </w:r>
          </w:p>
        </w:tc>
        <w:tc>
          <w:tcPr>
            <w:tcW w:w="217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17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983"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53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行政许可</w:t>
            </w:r>
          </w:p>
        </w:tc>
        <w:tc>
          <w:tcPr>
            <w:tcW w:w="653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983"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6531"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行政处罚</w:t>
            </w:r>
          </w:p>
        </w:tc>
        <w:tc>
          <w:tcPr>
            <w:tcW w:w="653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行政强制</w:t>
            </w:r>
          </w:p>
        </w:tc>
        <w:tc>
          <w:tcPr>
            <w:tcW w:w="653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983"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531"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行政事业性收费</w:t>
            </w:r>
          </w:p>
        </w:tc>
        <w:tc>
          <w:tcPr>
            <w:tcW w:w="6531"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三、收到和处理政府信息公开申请情况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00" w:lineRule="exact"/>
        <w:ind w:left="0" w:right="0" w:firstLine="420"/>
        <w:jc w:val="both"/>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 </w:t>
      </w:r>
    </w:p>
    <w:tbl>
      <w:tblPr>
        <w:tblStyle w:val="6"/>
        <w:tblW w:w="98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2"/>
        <w:gridCol w:w="949"/>
        <w:gridCol w:w="3245"/>
        <w:gridCol w:w="789"/>
        <w:gridCol w:w="595"/>
        <w:gridCol w:w="692"/>
        <w:gridCol w:w="692"/>
        <w:gridCol w:w="692"/>
        <w:gridCol w:w="699"/>
        <w:gridCol w:w="6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496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485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496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hd w:val="clear"/>
              <w:rPr>
                <w:rFonts w:hint="eastAsia" w:ascii="宋体"/>
                <w:sz w:val="24"/>
                <w:szCs w:val="24"/>
              </w:rPr>
            </w:pPr>
          </w:p>
        </w:tc>
        <w:tc>
          <w:tcPr>
            <w:tcW w:w="7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3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9" w:hRule="atLeast"/>
          <w:jc w:val="center"/>
        </w:trPr>
        <w:tc>
          <w:tcPr>
            <w:tcW w:w="496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hd w:val="clear"/>
              <w:rPr>
                <w:rFonts w:hint="eastAsia" w:ascii="宋体"/>
                <w:sz w:val="24"/>
                <w:szCs w:val="24"/>
              </w:rPr>
            </w:pPr>
          </w:p>
        </w:tc>
        <w:tc>
          <w:tcPr>
            <w:tcW w:w="7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9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9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9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496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2</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496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9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2</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6"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419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（二）部分公开（区分处理的，只计这一情形，不计其他情形）</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0</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8"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9"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4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w:t>
            </w:r>
            <w:r>
              <w:rPr>
                <w:rFonts w:hint="eastAsia" w:ascii="宋体" w:hAnsi="宋体" w:eastAsia="宋体" w:cs="宋体"/>
                <w:spacing w:val="-6"/>
                <w:kern w:val="0"/>
                <w:sz w:val="20"/>
                <w:szCs w:val="20"/>
                <w:lang w:val="en-US" w:eastAsia="zh-CN" w:bidi="ar"/>
              </w:rPr>
              <w:t>政机关不再处理其政府信息公开申请</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9"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324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7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hd w:val="clear"/>
              <w:rPr>
                <w:rFonts w:hint="eastAsia" w:ascii="宋体"/>
                <w:sz w:val="24"/>
                <w:szCs w:val="24"/>
              </w:rPr>
            </w:pPr>
          </w:p>
        </w:tc>
        <w:tc>
          <w:tcPr>
            <w:tcW w:w="419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2</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496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7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59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四、政府信息公开行政复议、行政诉讼情况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tbl>
      <w:tblPr>
        <w:tblStyle w:val="6"/>
        <w:tblW w:w="94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8"/>
        <w:gridCol w:w="628"/>
        <w:gridCol w:w="628"/>
        <w:gridCol w:w="628"/>
        <w:gridCol w:w="637"/>
        <w:gridCol w:w="628"/>
        <w:gridCol w:w="628"/>
        <w:gridCol w:w="629"/>
        <w:gridCol w:w="629"/>
        <w:gridCol w:w="639"/>
        <w:gridCol w:w="629"/>
        <w:gridCol w:w="629"/>
        <w:gridCol w:w="629"/>
        <w:gridCol w:w="629"/>
        <w:gridCol w:w="64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jc w:val="center"/>
        </w:trPr>
        <w:tc>
          <w:tcPr>
            <w:tcW w:w="3149"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310"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62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2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2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2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3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15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15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1" w:hRule="atLeast"/>
          <w:jc w:val="center"/>
        </w:trPr>
        <w:tc>
          <w:tcPr>
            <w:tcW w:w="62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hd w:val="clear"/>
              <w:rPr>
                <w:rFonts w:hint="eastAsia" w:ascii="宋体"/>
                <w:sz w:val="24"/>
                <w:szCs w:val="24"/>
              </w:rPr>
            </w:pPr>
          </w:p>
        </w:tc>
        <w:tc>
          <w:tcPr>
            <w:tcW w:w="62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hd w:val="clear"/>
              <w:rPr>
                <w:rFonts w:hint="eastAsia" w:ascii="宋体"/>
                <w:sz w:val="24"/>
                <w:szCs w:val="24"/>
              </w:rPr>
            </w:pPr>
          </w:p>
        </w:tc>
        <w:tc>
          <w:tcPr>
            <w:tcW w:w="62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hd w:val="clear"/>
              <w:rPr>
                <w:rFonts w:hint="eastAsia" w:ascii="宋体"/>
                <w:sz w:val="24"/>
                <w:szCs w:val="24"/>
              </w:rPr>
            </w:pPr>
          </w:p>
        </w:tc>
        <w:tc>
          <w:tcPr>
            <w:tcW w:w="62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hd w:val="clear"/>
              <w:rPr>
                <w:rFonts w:hint="eastAsia" w:ascii="宋体"/>
                <w:sz w:val="24"/>
                <w:szCs w:val="24"/>
              </w:rPr>
            </w:pPr>
          </w:p>
        </w:tc>
        <w:tc>
          <w:tcPr>
            <w:tcW w:w="63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hd w:val="clear"/>
              <w:rPr>
                <w:rFonts w:hint="eastAsia" w:ascii="宋体"/>
                <w:sz w:val="24"/>
                <w:szCs w:val="24"/>
              </w:rPr>
            </w:pP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9"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ascii="Calibri" w:hAnsi="Calibri" w:eastAsia="仿宋_GB2312" w:cs="Calibri"/>
                <w:kern w:val="0"/>
                <w:sz w:val="20"/>
                <w:szCs w:val="20"/>
                <w:lang w:val="en-US" w:eastAsia="zh-CN" w:bidi="ar"/>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jc w:val="center"/>
            </w:pPr>
            <w:r>
              <w:rPr>
                <w:rFonts w:hint="default" w:ascii="Calibri" w:hAnsi="Calibri" w:eastAsia="仿宋_GB2312" w:cs="Calibri"/>
                <w:kern w:val="0"/>
                <w:sz w:val="20"/>
                <w:szCs w:val="20"/>
                <w:lang w:val="en-US" w:eastAsia="zh-CN" w:bidi="ar"/>
              </w:rPr>
              <w:t>0</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2"/>
          <w:szCs w:val="32"/>
          <w:shd w:val="clear" w:fill="FFFFFF"/>
        </w:rPr>
        <w:t>目前存在问题和不足。虽然我局在政务信息公开上做了一些工作，公开执行情况有了较大改善，但我们认为仍然存在许多不足之处</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b/>
          <w:bCs/>
          <w:i w:val="0"/>
          <w:iCs w:val="0"/>
          <w:caps w:val="0"/>
          <w:color w:val="333333"/>
          <w:spacing w:val="0"/>
          <w:sz w:val="32"/>
          <w:szCs w:val="32"/>
          <w:shd w:val="clear" w:fill="FFFFFF"/>
        </w:rPr>
        <w:t>一是</w:t>
      </w:r>
      <w:r>
        <w:rPr>
          <w:rFonts w:hint="default" w:ascii="仿宋_GB2312" w:hAnsi="Times New Roman" w:eastAsia="仿宋_GB2312" w:cs="仿宋_GB2312"/>
          <w:i w:val="0"/>
          <w:iCs w:val="0"/>
          <w:caps w:val="0"/>
          <w:color w:val="333333"/>
          <w:spacing w:val="0"/>
          <w:sz w:val="32"/>
          <w:szCs w:val="32"/>
          <w:shd w:val="clear" w:fill="FFFFFF"/>
        </w:rPr>
        <w:t>政务信息公开还不够及时</w:t>
      </w:r>
      <w:r>
        <w:rPr>
          <w:rFonts w:hint="default" w:ascii="仿宋_GB2312" w:hAnsi="微软雅黑" w:eastAsia="仿宋_GB2312" w:cs="仿宋_GB2312"/>
          <w:i w:val="0"/>
          <w:iCs w:val="0"/>
          <w:caps w:val="0"/>
          <w:color w:val="333333"/>
          <w:spacing w:val="0"/>
          <w:sz w:val="32"/>
          <w:szCs w:val="32"/>
          <w:shd w:val="clear" w:fill="FFFFFF"/>
        </w:rPr>
        <w:t>，受统计报表的时间点限制，统计数据多在月底统计，次月发布，下一步为提高统计数据发布的及时性，尽可能缩短数据生产到发布的时间，更好地满足社会各界对主要统计数据的需求；</w:t>
      </w:r>
      <w:r>
        <w:rPr>
          <w:rFonts w:hint="default" w:ascii="仿宋_GB2312" w:hAnsi="Times New Roman" w:eastAsia="仿宋_GB2312" w:cs="仿宋_GB2312"/>
          <w:b/>
          <w:bCs/>
          <w:i w:val="0"/>
          <w:iCs w:val="0"/>
          <w:caps w:val="0"/>
          <w:color w:val="333333"/>
          <w:spacing w:val="0"/>
          <w:sz w:val="32"/>
          <w:szCs w:val="32"/>
          <w:shd w:val="clear" w:fill="FFFFFF"/>
        </w:rPr>
        <w:t>二是</w:t>
      </w:r>
      <w:r>
        <w:rPr>
          <w:rFonts w:hint="default" w:ascii="仿宋_GB2312" w:hAnsi="Times New Roman" w:eastAsia="仿宋_GB2312" w:cs="仿宋_GB2312"/>
          <w:i w:val="0"/>
          <w:iCs w:val="0"/>
          <w:caps w:val="0"/>
          <w:color w:val="333333"/>
          <w:spacing w:val="0"/>
          <w:sz w:val="32"/>
          <w:szCs w:val="32"/>
          <w:shd w:val="clear" w:fill="FFFFFF"/>
        </w:rPr>
        <w:t>解读重要统计数据</w:t>
      </w:r>
      <w:r>
        <w:rPr>
          <w:rFonts w:hint="default" w:ascii="仿宋_GB2312" w:hAnsi="微软雅黑" w:eastAsia="仿宋_GB2312" w:cs="仿宋_GB2312"/>
          <w:i w:val="0"/>
          <w:iCs w:val="0"/>
          <w:caps w:val="0"/>
          <w:color w:val="333333"/>
          <w:spacing w:val="0"/>
          <w:sz w:val="32"/>
          <w:szCs w:val="32"/>
          <w:shd w:val="clear" w:fill="FFFFFF"/>
        </w:rPr>
        <w:t>不够</w:t>
      </w:r>
      <w:r>
        <w:rPr>
          <w:rFonts w:hint="default" w:ascii="仿宋_GB2312" w:hAnsi="Times New Roman" w:eastAsia="仿宋_GB2312" w:cs="仿宋_GB2312"/>
          <w:i w:val="0"/>
          <w:iCs w:val="0"/>
          <w:caps w:val="0"/>
          <w:color w:val="333333"/>
          <w:spacing w:val="0"/>
          <w:sz w:val="32"/>
          <w:szCs w:val="32"/>
          <w:shd w:val="clear" w:fill="FFFFFF"/>
        </w:rPr>
        <w:t>全面</w:t>
      </w:r>
      <w:r>
        <w:rPr>
          <w:rFonts w:hint="default" w:ascii="仿宋_GB2312" w:hAnsi="微软雅黑" w:eastAsia="仿宋_GB2312" w:cs="仿宋_GB2312"/>
          <w:i w:val="0"/>
          <w:iCs w:val="0"/>
          <w:caps w:val="0"/>
          <w:color w:val="333333"/>
          <w:spacing w:val="0"/>
          <w:sz w:val="32"/>
          <w:szCs w:val="32"/>
          <w:shd w:val="clear" w:fill="FFFFFF"/>
        </w:rPr>
        <w:t>比较单一，下一步我局将很抓统计分析质量，多发布有价值、有深度的统计分析解读，综合运用文字、图表、视频、卡通漫画等多样化生动形式，提高社会公众对统计数据的直观理解程度。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六、其他需要报告的事项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0" w:lineRule="atLeast"/>
        <w:ind w:left="0" w:right="0" w:firstLine="640"/>
        <w:jc w:val="both"/>
      </w:pPr>
      <w:r>
        <w:rPr>
          <w:rFonts w:hint="eastAsia" w:ascii="仿宋_GB2312" w:hAnsi="仿宋_GB2312" w:eastAsia="仿宋_GB2312" w:cs="仿宋_GB2312"/>
          <w:i w:val="0"/>
          <w:iCs w:val="0"/>
          <w:caps w:val="0"/>
          <w:color w:val="333333"/>
          <w:spacing w:val="0"/>
          <w:sz w:val="32"/>
          <w:szCs w:val="32"/>
          <w:shd w:val="clear" w:fill="FFFFFF"/>
        </w:rPr>
        <w:t>按照《国务院办公厅关于印发〈政府信息公开信息处理费管理办法〉的通知》（国办函〔2020〕109号）规定的按件、按量收费标准，本年度没有产生信息公开处理费。</w:t>
      </w:r>
    </w:p>
    <w:bookmarkEnd w:id="0"/>
    <w:sectPr>
      <w:footerReference r:id="rId3" w:type="default"/>
      <w:pgSz w:w="11906" w:h="16838"/>
      <w:pgMar w:top="1701" w:right="1587"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清茶楷体预览版">
    <w:panose1 w:val="020005000400000200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NjgzZDY5MjNhMDhjZjk0YzM1ODI3NzZiZDQ5NDMifQ=="/>
  </w:docVars>
  <w:rsids>
    <w:rsidRoot w:val="00000000"/>
    <w:rsid w:val="1D280DCE"/>
    <w:rsid w:val="25C97834"/>
    <w:rsid w:val="270E2620"/>
    <w:rsid w:val="29DB563C"/>
    <w:rsid w:val="38A37878"/>
    <w:rsid w:val="3BF375EE"/>
    <w:rsid w:val="3C5F210B"/>
    <w:rsid w:val="3E2270CF"/>
    <w:rsid w:val="434F69ED"/>
    <w:rsid w:val="45C50DEF"/>
    <w:rsid w:val="649B0309"/>
    <w:rsid w:val="7CAD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2024-02-21T00:25:00Z</dcterms:created>
  <dc:creator>Administrator</dc:creator>
  <cp:lastModifiedBy>WPS_1667532159</cp:lastModifiedBy>
  <dcterms:modified xsi:type="dcterms:W3CDTF">2024-02-21T00:37:43Z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3B0296BD9E5C49FDBC76E943F439B128_12</vt:lpwstr>
  </property>
</Properties>
</file>