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金寨县公共资源交易监督管理局202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政府信息公开工作年度报告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hAnsi="仿宋_GB2312" w:cs="仿宋_GB2312"/>
          <w:w w:val="98"/>
          <w:kern w:val="1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本报告依据《中华人民共和国政府信息公开条例》（国务院令第711号）</w:t>
      </w:r>
      <w:r>
        <w:rPr>
          <w:rFonts w:hint="eastAsia" w:ascii="Times New Roman" w:cs="Times New Roman"/>
          <w:color w:val="000000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《六安市政务公开办公室关于做好2023年度政府信息公开年度报告编制和发布工作的通知》（六政务公开办〔202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〕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号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）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《关于做好2023年度政府信息公开工作年度报告编制和发布的通知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》（</w:t>
      </w:r>
      <w:bookmarkStart w:id="0" w:name="文号"/>
      <w:r>
        <w:rPr>
          <w:rFonts w:hint="default" w:ascii="Times New Roman" w:hAnsi="Times New Roman" w:cs="Times New Roman"/>
          <w:color w:val="000000"/>
          <w:shd w:val="clear" w:color="auto" w:fill="FFFFFF"/>
        </w:rPr>
        <w:t>金政公开〔202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〕1号</w:t>
      </w:r>
      <w:bookmarkEnd w:id="0"/>
      <w:r>
        <w:rPr>
          <w:rFonts w:hint="default" w:ascii="Times New Roman" w:hAnsi="Times New Roman" w:cs="Times New Roman"/>
          <w:color w:val="000000"/>
          <w:shd w:val="clear" w:color="auto" w:fill="FFFFFF"/>
        </w:rPr>
        <w:t>）等要求编制而成。本报告中使用数据统计期限为202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年1月1日至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12月31日，报告的电子版可在金寨县公共资源交易监督管理局（以下简称县公管局）政府信息公开网（http://www.ahjinzhai.gov.cn/public/column/6603061?type=4&amp;action=list）下载。如对本报告有任何疑问，请与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US" w:eastAsia="zh-CN"/>
        </w:rPr>
        <w:t>金寨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县公管局办公室联系（地址：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US" w:eastAsia="zh-CN"/>
        </w:rPr>
        <w:t>安徽省金寨县新城区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金寨经济开发区金梧桐创业园金寨县政务服务中心大楼16楼1618室，电话：0564--7350826，邮编：237300）。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一、总体情况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8" w:firstLineChars="21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default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主动公开</w:t>
      </w: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情况。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扎实开展政务公开重点工作提升行动，加大主动公开力度，</w:t>
      </w:r>
      <w:r>
        <w:rPr>
          <w:rFonts w:hint="eastAsia" w:hAnsi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持续推动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公共资源交易领域信息公开标准化规范化。一、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加强主动信息公开。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着力做好决策、执行、管理、服务、结果公开。全面做好现行有效规范性文件集中公开；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梳理年度全面和专项工作计划，做好年度全面和专项工作总结；集中展示经清理确定的本部门权责清单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公共服务事项清单；不断完善各类交易流程服务指南，实现公共资源交易一站式综合服务；增强执法能力和水平，按照季度公开行政处罚结果信息，同时在六安市信用平台进行行政许可和行政处罚双公示。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全年在县公管局政府信息公开网上公开主动公开信息</w:t>
      </w:r>
      <w:r>
        <w:rPr>
          <w:rFonts w:hint="eastAsia" w:ascii="Times New Roman" w:hAnsi="Times New Roman" w:cs="Times New Roman"/>
          <w:color w:val="000000"/>
          <w:shd w:val="clear" w:color="auto" w:fill="FFFFFF"/>
          <w:lang w:val="en-US" w:eastAsia="zh-CN"/>
        </w:rPr>
        <w:t>354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条。二、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加强重点领域信息公开。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聚焦工程建设、政府采购、国土资源及矿业权、国有产权、农村综合产权等交易</w:t>
      </w:r>
      <w:r>
        <w:rPr>
          <w:rFonts w:hint="eastAsia" w:hAnsi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，狠抓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招标公告、中标候选人公示、中标结果公示、合同及履约信息公示等重点环节，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全力保障</w:t>
      </w:r>
      <w:r>
        <w:rPr>
          <w:rFonts w:hint="eastAsia" w:ascii="Times New Roman" w:hAnsi="Times New Roman" w:cs="Times New Roman"/>
          <w:color w:val="000000"/>
          <w:shd w:val="clear" w:color="auto" w:fill="FFFFFF"/>
          <w:lang w:val="en-US" w:eastAsia="zh-CN"/>
        </w:rPr>
        <w:t>848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场次</w:t>
      </w:r>
      <w:r>
        <w:rPr>
          <w:rFonts w:hint="eastAsia" w:ascii="Times New Roman" w:hAnsi="Times New Roman" w:cs="Times New Roman"/>
          <w:color w:val="000000"/>
          <w:shd w:val="clear" w:color="auto" w:fill="FFFFFF"/>
          <w:lang w:val="en-US" w:eastAsia="zh-CN"/>
        </w:rPr>
        <w:t>1005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个各类公共资源进场交易项目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全过程信息公开。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shd w:val="clear" w:color="auto" w:fill="FFFFFF"/>
        </w:rPr>
        <w:t>（二）依申请公开</w:t>
      </w:r>
      <w:r>
        <w:rPr>
          <w:rFonts w:hint="eastAsia" w:ascii="楷体" w:hAnsi="楷体" w:eastAsia="楷体" w:cs="楷体"/>
          <w:b/>
          <w:color w:val="000000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加强工作人员对依申请公开全过程管理的学习，确保工作人员明晰申请受理、登记、办理、审核、答复、送达、归档等规范程序，为今后做好依申请公开工作打好坚实的基础。</w:t>
      </w:r>
      <w:r>
        <w:rPr>
          <w:rFonts w:hint="eastAsia" w:ascii="Times New Roman" w:hAnsi="Times New Roman" w:cs="Times New Roman"/>
          <w:color w:val="000000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hAnsi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，无依申请公开事项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shd w:val="clear" w:color="auto" w:fill="FFFFFF"/>
        </w:rPr>
        <w:t>（三）政府信息管理</w:t>
      </w:r>
      <w:r>
        <w:rPr>
          <w:rFonts w:hint="eastAsia" w:ascii="楷体" w:hAnsi="楷体" w:eastAsia="楷体" w:cs="楷体"/>
          <w:b/>
          <w:color w:val="000000"/>
          <w:shd w:val="clear" w:color="auto" w:fill="FFFFFF"/>
          <w:lang w:eastAsia="zh-CN"/>
        </w:rPr>
        <w:t>。</w:t>
      </w:r>
      <w:r>
        <w:rPr>
          <w:rFonts w:hint="eastAsia" w:ascii="Times New Roman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严格落实政府信息公开源头认定制度，严格执行信息发布审批流程，建立信息初审、复审、终审登记台账，明确各类信息发布管理责任人及信息上传渠道，做到政府信息管理有制度、有台账、有源头、有渠道、有责任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default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政府信息公开平台建设情况</w:t>
      </w: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加强门户网站建设，优化栏目布局，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避免栏目重复设置；优化要素公开，精简栏目设置。促进政府信息公开平台与公共资源交易平台、信用六安行政许可和行政处罚双公示平台、政务服务平台等多平台深度融合，实现互联互通、信息同源。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楷体" w:cs="Times New Roman"/>
          <w:color w:val="auto"/>
          <w:kern w:val="0"/>
          <w:sz w:val="24"/>
          <w:highlight w:val="none"/>
          <w:u w:val="none" w:color="auto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（五）监督保障。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通过“公共资源交易大讲堂”“业务大比武”“业务培训会”等多种方式，大力宣传招标采购和农村综合产权交易政策法规，全面加强对新政策的宣传学习和解读，将业务培训范围向招标采购各方主体不断延伸，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切实提高全县招标采购业务经办人员的业务能力和工作水平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，不断提升</w:t>
      </w:r>
      <w:r>
        <w:rPr>
          <w:rFonts w:hint="eastAsia" w:ascii="Times New Roman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各类公共资源交易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信息的规范性和有效性，</w:t>
      </w:r>
      <w:r>
        <w:rPr>
          <w:rFonts w:hint="eastAsia" w:ascii="Times New Roman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进一步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提</w:t>
      </w:r>
      <w:r>
        <w:rPr>
          <w:rFonts w:hint="eastAsia" w:ascii="Times New Roman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高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信息公开质量。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="Times New Roman" w:eastAsia="仿宋_GB2312" w:cs="Times New Roman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/>
          <w:bCs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hAnsi="Times New Roman" w:eastAsia="宋体" w:cs="Times New Roman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.危及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三安全一稳定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Times New Roman" w:cs="Times New Roman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Times New Roman" w:cs="Times New Roman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上年改进情况：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针对政策解读方式不够丰富的问题，采用文字、音频、图片、对话问答等多种解读方式，用生动灵活、通俗易懂的语言促进政策宣传；针对公开信息不够全面的问题，细化公开要素、内容、环节，保障信息公开全面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Calibri" w:hAnsi="Calibri" w:eastAsia="仿宋_GB2312" w:cs="Calibri"/>
          <w:sz w:val="21"/>
          <w:szCs w:val="21"/>
          <w:highlight w:val="yellow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本年存在问题：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Calibri" w:eastAsia="仿宋_GB2312" w:cs="仿宋_GB2312"/>
          <w:sz w:val="32"/>
          <w:szCs w:val="32"/>
        </w:rPr>
        <w:t>是政务公开工作责任不够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Calibri" w:eastAsia="仿宋_GB2312" w:cs="仿宋_GB2312"/>
          <w:sz w:val="32"/>
          <w:szCs w:val="32"/>
        </w:rPr>
        <w:t>实</w:t>
      </w:r>
      <w:r>
        <w:rPr>
          <w:rFonts w:hint="eastAsia" w:hAnsi="Calibri" w:cs="仿宋_GB2312"/>
          <w:sz w:val="32"/>
          <w:szCs w:val="32"/>
          <w:lang w:eastAsia="zh-CN"/>
        </w:rPr>
        <w:t>，政务公开经办人员与业务经办人员之间协调的不够好，偶有信息延迟发布情况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；二</w:t>
      </w:r>
      <w:r>
        <w:rPr>
          <w:rFonts w:hint="eastAsia" w:ascii="仿宋_GB2312" w:hAnsi="Calibri" w:eastAsia="仿宋_GB2312" w:cs="仿宋_GB2312"/>
          <w:sz w:val="32"/>
          <w:szCs w:val="32"/>
        </w:rPr>
        <w:t>是向社会公众征求意见反馈信息不够规范</w:t>
      </w:r>
      <w:r>
        <w:rPr>
          <w:rFonts w:hint="eastAsia" w:hAnsi="Calibri" w:cs="仿宋_GB2312"/>
          <w:sz w:val="32"/>
          <w:szCs w:val="32"/>
          <w:lang w:eastAsia="zh-CN"/>
        </w:rPr>
        <w:t>，未通过意见征集库进行意见征集，未完整体现意见采纳情况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  <w:r>
        <w:rPr>
          <w:rFonts w:hint="eastAsia" w:ascii="楷体" w:hAnsi="楷体" w:eastAsia="楷体" w:cs="楷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下一步改进举措：</w:t>
      </w:r>
      <w:r>
        <w:rPr>
          <w:rFonts w:hint="eastAsia" w:ascii="仿宋_GB2312" w:hAnsi="Calibri" w:eastAsia="仿宋_GB2312" w:cs="仿宋_GB2312"/>
          <w:sz w:val="32"/>
          <w:szCs w:val="32"/>
        </w:rPr>
        <w:t>一是进一步压实工作责任。将信息公开与日常工作有机结合，加强协调配合，及时准确高效发布政务公开信息。二是进一步加强业务培训。按照县政务公开办的工作部署，组织</w:t>
      </w:r>
      <w:r>
        <w:rPr>
          <w:rFonts w:hint="eastAsia" w:hAnsi="Calibri" w:cs="仿宋_GB2312"/>
          <w:sz w:val="32"/>
          <w:szCs w:val="32"/>
          <w:lang w:eastAsia="zh-CN"/>
        </w:rPr>
        <w:t>开展</w:t>
      </w:r>
      <w:r>
        <w:rPr>
          <w:rFonts w:hint="eastAsia" w:ascii="仿宋_GB2312" w:hAnsi="Calibri" w:eastAsia="仿宋_GB2312" w:cs="仿宋_GB2312"/>
          <w:sz w:val="32"/>
          <w:szCs w:val="32"/>
        </w:rPr>
        <w:t>理论、政策、实践专题培训，</w:t>
      </w:r>
      <w:r>
        <w:rPr>
          <w:rFonts w:hint="eastAsia" w:hAnsi="Calibri" w:cs="仿宋_GB2312"/>
          <w:sz w:val="32"/>
          <w:szCs w:val="32"/>
          <w:lang w:eastAsia="zh-CN"/>
        </w:rPr>
        <w:t>着力</w:t>
      </w:r>
      <w:r>
        <w:rPr>
          <w:rFonts w:hint="eastAsia" w:ascii="仿宋_GB2312" w:hAnsi="Calibri" w:eastAsia="仿宋_GB2312" w:cs="仿宋_GB2312"/>
          <w:sz w:val="32"/>
          <w:szCs w:val="32"/>
        </w:rPr>
        <w:t>增强全局工作人员政务公开意识，加强政策文件</w:t>
      </w:r>
      <w:r>
        <w:rPr>
          <w:rFonts w:hint="eastAsia" w:hAnsi="Calibri" w:cs="仿宋_GB2312"/>
          <w:sz w:val="32"/>
          <w:szCs w:val="32"/>
          <w:lang w:eastAsia="zh-CN"/>
        </w:rPr>
        <w:t>意见征集反馈工作，</w:t>
      </w:r>
      <w:r>
        <w:rPr>
          <w:rFonts w:hint="eastAsia" w:ascii="仿宋_GB2312" w:hAnsi="Calibri" w:eastAsia="仿宋_GB2312" w:cs="仿宋_GB2312"/>
          <w:sz w:val="32"/>
          <w:szCs w:val="32"/>
        </w:rPr>
        <w:t>不断提升</w:t>
      </w:r>
      <w:r>
        <w:rPr>
          <w:rFonts w:hint="eastAsia" w:hAnsi="Calibri" w:cs="仿宋_GB2312"/>
          <w:sz w:val="32"/>
          <w:szCs w:val="32"/>
          <w:lang w:eastAsia="zh-CN"/>
        </w:rPr>
        <w:t>面向公众面向企业意见征集反馈</w:t>
      </w:r>
      <w:r>
        <w:rPr>
          <w:rFonts w:hint="eastAsia" w:ascii="仿宋_GB2312" w:hAnsi="Calibri" w:eastAsia="仿宋_GB2312" w:cs="仿宋_GB2312"/>
          <w:sz w:val="32"/>
          <w:szCs w:val="32"/>
        </w:rPr>
        <w:t>工作质效。三是进一步完善考核督查机制。将政务公开工作纳入个人年度目标责任制考核，加强调度、督查、考核，建立“清单+闭环”模式推进问题整改，推进政务公开工作迈上新台阶。</w:t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宋体" w:eastAsia="黑体" w:cs="黑体"/>
          <w:lang w:bidi="ar"/>
        </w:rPr>
      </w:pPr>
      <w:r>
        <w:rPr>
          <w:rFonts w:hAnsi="宋体" w:cs="仿宋_GB2312"/>
          <w:color w:val="000000"/>
          <w:shd w:val="clear" w:color="auto" w:fill="FFFFFF"/>
        </w:rPr>
        <w:t>按照《国务院办公厅关于印发〈政府信息公开信息处理费管理办法〉的通知》（国办函</w:t>
      </w:r>
      <w:r>
        <w:rPr>
          <w:rFonts w:hint="eastAsia" w:ascii="Times New Roman" w:hAnsi="Times New Roman" w:cs="Times New Roman"/>
          <w:color w:val="000000"/>
          <w:shd w:val="clear" w:color="auto" w:fill="FFFFFF"/>
          <w:lang w:val="en-US" w:eastAsia="zh-CN"/>
        </w:rPr>
        <w:t>〔2020〕109</w:t>
      </w:r>
      <w:r>
        <w:rPr>
          <w:rFonts w:hAnsi="宋体" w:cs="仿宋_GB2312"/>
          <w:color w:val="000000"/>
          <w:shd w:val="clear" w:color="auto" w:fill="FFFFFF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rPr>
          <w:rFonts w:hint="eastAsia" w:ascii="仿宋_GB2312" w:hAnsi="Times New Roman" w:eastAsia="仿宋_GB231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DRhYmQ1MWJjNGIwYzFjMjM4ZDMyZjg3ZGZjMjQifQ=="/>
  </w:docVars>
  <w:rsids>
    <w:rsidRoot w:val="04186FBE"/>
    <w:rsid w:val="000C024B"/>
    <w:rsid w:val="00150EAD"/>
    <w:rsid w:val="00311A5F"/>
    <w:rsid w:val="003F5F2A"/>
    <w:rsid w:val="00847DE1"/>
    <w:rsid w:val="00906786"/>
    <w:rsid w:val="00BC3A1F"/>
    <w:rsid w:val="00C14B91"/>
    <w:rsid w:val="00CB3C62"/>
    <w:rsid w:val="00D5688F"/>
    <w:rsid w:val="00D9012D"/>
    <w:rsid w:val="011B6997"/>
    <w:rsid w:val="012F2443"/>
    <w:rsid w:val="01910A08"/>
    <w:rsid w:val="01AA3877"/>
    <w:rsid w:val="01E925F2"/>
    <w:rsid w:val="02072A78"/>
    <w:rsid w:val="02685C0C"/>
    <w:rsid w:val="02897931"/>
    <w:rsid w:val="029702A0"/>
    <w:rsid w:val="030D40BE"/>
    <w:rsid w:val="030E7E36"/>
    <w:rsid w:val="032D4760"/>
    <w:rsid w:val="03327FC8"/>
    <w:rsid w:val="033A21AE"/>
    <w:rsid w:val="037759DB"/>
    <w:rsid w:val="03D177E1"/>
    <w:rsid w:val="03E05C76"/>
    <w:rsid w:val="03EE3EEF"/>
    <w:rsid w:val="04096F7B"/>
    <w:rsid w:val="040A4AA1"/>
    <w:rsid w:val="04186FBE"/>
    <w:rsid w:val="046C12B8"/>
    <w:rsid w:val="04785EAF"/>
    <w:rsid w:val="047C774D"/>
    <w:rsid w:val="050E236F"/>
    <w:rsid w:val="05237BC9"/>
    <w:rsid w:val="05467D5B"/>
    <w:rsid w:val="05542478"/>
    <w:rsid w:val="05616943"/>
    <w:rsid w:val="0571302A"/>
    <w:rsid w:val="059705B7"/>
    <w:rsid w:val="05A50F26"/>
    <w:rsid w:val="05C018BB"/>
    <w:rsid w:val="05E05ABA"/>
    <w:rsid w:val="061439B5"/>
    <w:rsid w:val="0616597F"/>
    <w:rsid w:val="06255BC2"/>
    <w:rsid w:val="067803E8"/>
    <w:rsid w:val="068C3E93"/>
    <w:rsid w:val="06A74829"/>
    <w:rsid w:val="06D01FD2"/>
    <w:rsid w:val="06E67100"/>
    <w:rsid w:val="06F55595"/>
    <w:rsid w:val="06F757B1"/>
    <w:rsid w:val="06FC6923"/>
    <w:rsid w:val="07133C6D"/>
    <w:rsid w:val="08204893"/>
    <w:rsid w:val="083640B7"/>
    <w:rsid w:val="084C38DA"/>
    <w:rsid w:val="08762705"/>
    <w:rsid w:val="08B03E69"/>
    <w:rsid w:val="08C96CD9"/>
    <w:rsid w:val="093F51ED"/>
    <w:rsid w:val="096B5FE2"/>
    <w:rsid w:val="09B96D4E"/>
    <w:rsid w:val="09F75AC8"/>
    <w:rsid w:val="0A03188A"/>
    <w:rsid w:val="0A40121D"/>
    <w:rsid w:val="0A7F7F97"/>
    <w:rsid w:val="0A8F73FB"/>
    <w:rsid w:val="0AAA2B3A"/>
    <w:rsid w:val="0ACC2AB1"/>
    <w:rsid w:val="0AE20526"/>
    <w:rsid w:val="0AF12517"/>
    <w:rsid w:val="0AFD2C6A"/>
    <w:rsid w:val="0B1A381C"/>
    <w:rsid w:val="0B2E5519"/>
    <w:rsid w:val="0B745622"/>
    <w:rsid w:val="0B867103"/>
    <w:rsid w:val="0B9D61FB"/>
    <w:rsid w:val="0B9E1E21"/>
    <w:rsid w:val="0BE81B6C"/>
    <w:rsid w:val="0C087B18"/>
    <w:rsid w:val="0C0F0EA7"/>
    <w:rsid w:val="0C3C5A14"/>
    <w:rsid w:val="0C434FF4"/>
    <w:rsid w:val="0C4D19CF"/>
    <w:rsid w:val="0C594818"/>
    <w:rsid w:val="0C7D22B4"/>
    <w:rsid w:val="0CAC4948"/>
    <w:rsid w:val="0CB97065"/>
    <w:rsid w:val="0CD65E68"/>
    <w:rsid w:val="0CF34325"/>
    <w:rsid w:val="0D0F4ED6"/>
    <w:rsid w:val="0D3F3A0E"/>
    <w:rsid w:val="0D5B011C"/>
    <w:rsid w:val="0D8B6C53"/>
    <w:rsid w:val="0DCD2DC7"/>
    <w:rsid w:val="0DF30354"/>
    <w:rsid w:val="0E06452B"/>
    <w:rsid w:val="0E320E7D"/>
    <w:rsid w:val="0E625C06"/>
    <w:rsid w:val="0E794CFD"/>
    <w:rsid w:val="0E912047"/>
    <w:rsid w:val="0EAF6971"/>
    <w:rsid w:val="0EB21FBD"/>
    <w:rsid w:val="0ED168E7"/>
    <w:rsid w:val="0EE06B2A"/>
    <w:rsid w:val="0EE24651"/>
    <w:rsid w:val="0EE7435D"/>
    <w:rsid w:val="0F1467D4"/>
    <w:rsid w:val="0F2B249C"/>
    <w:rsid w:val="0F56503F"/>
    <w:rsid w:val="0F6A2898"/>
    <w:rsid w:val="0F7D6A6F"/>
    <w:rsid w:val="0FFE195E"/>
    <w:rsid w:val="10014FAA"/>
    <w:rsid w:val="1081433D"/>
    <w:rsid w:val="10944070"/>
    <w:rsid w:val="109E4EEF"/>
    <w:rsid w:val="10AD5132"/>
    <w:rsid w:val="10BE2E9B"/>
    <w:rsid w:val="10E5667A"/>
    <w:rsid w:val="10F42D61"/>
    <w:rsid w:val="110F1949"/>
    <w:rsid w:val="11671785"/>
    <w:rsid w:val="116972AB"/>
    <w:rsid w:val="119105B0"/>
    <w:rsid w:val="11D87F8D"/>
    <w:rsid w:val="126E269F"/>
    <w:rsid w:val="128679E9"/>
    <w:rsid w:val="12A83E03"/>
    <w:rsid w:val="12B72298"/>
    <w:rsid w:val="12C549B5"/>
    <w:rsid w:val="12E070F9"/>
    <w:rsid w:val="12FE3A23"/>
    <w:rsid w:val="139879D4"/>
    <w:rsid w:val="13AC7923"/>
    <w:rsid w:val="14237BE5"/>
    <w:rsid w:val="14522278"/>
    <w:rsid w:val="145A2EDB"/>
    <w:rsid w:val="14B95E54"/>
    <w:rsid w:val="14EF3F6B"/>
    <w:rsid w:val="151B6B0E"/>
    <w:rsid w:val="15345877"/>
    <w:rsid w:val="153674A4"/>
    <w:rsid w:val="15531306"/>
    <w:rsid w:val="15932B49"/>
    <w:rsid w:val="159B7C4F"/>
    <w:rsid w:val="161517B0"/>
    <w:rsid w:val="163B0AEA"/>
    <w:rsid w:val="16C86822"/>
    <w:rsid w:val="16F47617"/>
    <w:rsid w:val="17375756"/>
    <w:rsid w:val="173B6FF4"/>
    <w:rsid w:val="17620A24"/>
    <w:rsid w:val="178F7340"/>
    <w:rsid w:val="17C4348D"/>
    <w:rsid w:val="17EE22B8"/>
    <w:rsid w:val="180C273E"/>
    <w:rsid w:val="184E2D57"/>
    <w:rsid w:val="18602A8A"/>
    <w:rsid w:val="18860743"/>
    <w:rsid w:val="18D53478"/>
    <w:rsid w:val="18F97167"/>
    <w:rsid w:val="190A3122"/>
    <w:rsid w:val="19573E8D"/>
    <w:rsid w:val="199B1FCC"/>
    <w:rsid w:val="199E1ABC"/>
    <w:rsid w:val="1A141D7E"/>
    <w:rsid w:val="1A246465"/>
    <w:rsid w:val="1A2A3350"/>
    <w:rsid w:val="1A361CF4"/>
    <w:rsid w:val="1A393593"/>
    <w:rsid w:val="1A3F329F"/>
    <w:rsid w:val="1A514D80"/>
    <w:rsid w:val="1ABF1CEA"/>
    <w:rsid w:val="1AC217DA"/>
    <w:rsid w:val="1AFE6CB6"/>
    <w:rsid w:val="1B2B737F"/>
    <w:rsid w:val="1B7156DA"/>
    <w:rsid w:val="1BA90A6F"/>
    <w:rsid w:val="1C827473"/>
    <w:rsid w:val="1CC8589D"/>
    <w:rsid w:val="1CFD2F9D"/>
    <w:rsid w:val="1D214EDE"/>
    <w:rsid w:val="1D24677C"/>
    <w:rsid w:val="1D2D5631"/>
    <w:rsid w:val="1D306ECF"/>
    <w:rsid w:val="1D3D339A"/>
    <w:rsid w:val="1D70376F"/>
    <w:rsid w:val="1D7414B2"/>
    <w:rsid w:val="1DBC4C07"/>
    <w:rsid w:val="1E562965"/>
    <w:rsid w:val="1E5D1F46"/>
    <w:rsid w:val="1E74103D"/>
    <w:rsid w:val="1EA77665"/>
    <w:rsid w:val="1EC43D73"/>
    <w:rsid w:val="1EE53CE9"/>
    <w:rsid w:val="1EF108E0"/>
    <w:rsid w:val="1FD77AD6"/>
    <w:rsid w:val="20216FA3"/>
    <w:rsid w:val="205D447F"/>
    <w:rsid w:val="20D44015"/>
    <w:rsid w:val="210448FA"/>
    <w:rsid w:val="211B1C44"/>
    <w:rsid w:val="213F3B84"/>
    <w:rsid w:val="218C669E"/>
    <w:rsid w:val="21B207FA"/>
    <w:rsid w:val="21BA76AF"/>
    <w:rsid w:val="21BF0821"/>
    <w:rsid w:val="21F901D7"/>
    <w:rsid w:val="221F7512"/>
    <w:rsid w:val="227E06DD"/>
    <w:rsid w:val="228757E3"/>
    <w:rsid w:val="22BF31CF"/>
    <w:rsid w:val="22CC58EC"/>
    <w:rsid w:val="22DE117B"/>
    <w:rsid w:val="233D0598"/>
    <w:rsid w:val="234F5BD5"/>
    <w:rsid w:val="23671171"/>
    <w:rsid w:val="23837008"/>
    <w:rsid w:val="244D480A"/>
    <w:rsid w:val="244F2331"/>
    <w:rsid w:val="245E4322"/>
    <w:rsid w:val="2460453E"/>
    <w:rsid w:val="249D781B"/>
    <w:rsid w:val="24CE594B"/>
    <w:rsid w:val="24D12D46"/>
    <w:rsid w:val="24F1163A"/>
    <w:rsid w:val="250255F5"/>
    <w:rsid w:val="253D662D"/>
    <w:rsid w:val="25493224"/>
    <w:rsid w:val="25F211C5"/>
    <w:rsid w:val="2601765A"/>
    <w:rsid w:val="260809E9"/>
    <w:rsid w:val="26121868"/>
    <w:rsid w:val="2685203A"/>
    <w:rsid w:val="27194E78"/>
    <w:rsid w:val="27221F7E"/>
    <w:rsid w:val="27BF5A1F"/>
    <w:rsid w:val="27D019DA"/>
    <w:rsid w:val="280671AA"/>
    <w:rsid w:val="286B34B1"/>
    <w:rsid w:val="28702875"/>
    <w:rsid w:val="289A5B44"/>
    <w:rsid w:val="28B9246E"/>
    <w:rsid w:val="290851A4"/>
    <w:rsid w:val="290F6532"/>
    <w:rsid w:val="296543A4"/>
    <w:rsid w:val="296F6FD1"/>
    <w:rsid w:val="29E277A3"/>
    <w:rsid w:val="29F179E6"/>
    <w:rsid w:val="2A0616E3"/>
    <w:rsid w:val="2A135BAE"/>
    <w:rsid w:val="2A1831C5"/>
    <w:rsid w:val="2A293624"/>
    <w:rsid w:val="2A4D10C0"/>
    <w:rsid w:val="2AB96756"/>
    <w:rsid w:val="2AC450FA"/>
    <w:rsid w:val="2B7E174D"/>
    <w:rsid w:val="2B980A61"/>
    <w:rsid w:val="2B9B40AD"/>
    <w:rsid w:val="2BAA2542"/>
    <w:rsid w:val="2BCA04EF"/>
    <w:rsid w:val="2C29790B"/>
    <w:rsid w:val="2C9A4365"/>
    <w:rsid w:val="2CC338BC"/>
    <w:rsid w:val="2D1A7254"/>
    <w:rsid w:val="2D281971"/>
    <w:rsid w:val="2D720E3E"/>
    <w:rsid w:val="2D8D7A26"/>
    <w:rsid w:val="2DFA155F"/>
    <w:rsid w:val="2E0C1292"/>
    <w:rsid w:val="2E291E44"/>
    <w:rsid w:val="2E3507E9"/>
    <w:rsid w:val="2E383E35"/>
    <w:rsid w:val="2E5C5D76"/>
    <w:rsid w:val="2E7D3F3E"/>
    <w:rsid w:val="2EDD678B"/>
    <w:rsid w:val="2EE45D6B"/>
    <w:rsid w:val="2EE8585B"/>
    <w:rsid w:val="2F041F69"/>
    <w:rsid w:val="2F8135BA"/>
    <w:rsid w:val="2F880DEC"/>
    <w:rsid w:val="2FA84FEB"/>
    <w:rsid w:val="2FCD67FF"/>
    <w:rsid w:val="2FE029D7"/>
    <w:rsid w:val="2FF87D20"/>
    <w:rsid w:val="30536D05"/>
    <w:rsid w:val="30590093"/>
    <w:rsid w:val="306727B0"/>
    <w:rsid w:val="307C26FF"/>
    <w:rsid w:val="30BF25EC"/>
    <w:rsid w:val="318178A1"/>
    <w:rsid w:val="31945827"/>
    <w:rsid w:val="31F6028F"/>
    <w:rsid w:val="32546D64"/>
    <w:rsid w:val="32AE2918"/>
    <w:rsid w:val="32CE4D68"/>
    <w:rsid w:val="32D14858"/>
    <w:rsid w:val="32D57EA5"/>
    <w:rsid w:val="33122EA7"/>
    <w:rsid w:val="332826CA"/>
    <w:rsid w:val="336E3E55"/>
    <w:rsid w:val="33925D96"/>
    <w:rsid w:val="339E473B"/>
    <w:rsid w:val="34311A53"/>
    <w:rsid w:val="34480B4A"/>
    <w:rsid w:val="34670FD0"/>
    <w:rsid w:val="348E2A01"/>
    <w:rsid w:val="349F4C0E"/>
    <w:rsid w:val="34A42225"/>
    <w:rsid w:val="352E7D40"/>
    <w:rsid w:val="35337105"/>
    <w:rsid w:val="35551771"/>
    <w:rsid w:val="35B069A7"/>
    <w:rsid w:val="35EF74CF"/>
    <w:rsid w:val="36054F45"/>
    <w:rsid w:val="36341386"/>
    <w:rsid w:val="36541A28"/>
    <w:rsid w:val="365B4B65"/>
    <w:rsid w:val="36A007CA"/>
    <w:rsid w:val="36C7044C"/>
    <w:rsid w:val="3790083E"/>
    <w:rsid w:val="37A442EA"/>
    <w:rsid w:val="37CB7AC8"/>
    <w:rsid w:val="37D22C05"/>
    <w:rsid w:val="381B0A50"/>
    <w:rsid w:val="38237904"/>
    <w:rsid w:val="38353194"/>
    <w:rsid w:val="38417D8A"/>
    <w:rsid w:val="38855EC9"/>
    <w:rsid w:val="38CF5396"/>
    <w:rsid w:val="38EA21D0"/>
    <w:rsid w:val="39180AEB"/>
    <w:rsid w:val="3930052B"/>
    <w:rsid w:val="394B7113"/>
    <w:rsid w:val="397877DC"/>
    <w:rsid w:val="397A79F8"/>
    <w:rsid w:val="39A86313"/>
    <w:rsid w:val="3A00614F"/>
    <w:rsid w:val="3AB807D8"/>
    <w:rsid w:val="3ACC6031"/>
    <w:rsid w:val="3ACF5B21"/>
    <w:rsid w:val="3AD44EE6"/>
    <w:rsid w:val="3AD60C5E"/>
    <w:rsid w:val="3AEA295B"/>
    <w:rsid w:val="3B003F2D"/>
    <w:rsid w:val="3B0532F1"/>
    <w:rsid w:val="3B673FAC"/>
    <w:rsid w:val="3B762441"/>
    <w:rsid w:val="3B96663F"/>
    <w:rsid w:val="3BDA652C"/>
    <w:rsid w:val="3BF05D4F"/>
    <w:rsid w:val="3BF82E56"/>
    <w:rsid w:val="3C683B38"/>
    <w:rsid w:val="3C9506A5"/>
    <w:rsid w:val="3CEA279F"/>
    <w:rsid w:val="3D1912D6"/>
    <w:rsid w:val="3D536596"/>
    <w:rsid w:val="3D766728"/>
    <w:rsid w:val="3D931088"/>
    <w:rsid w:val="3DC01751"/>
    <w:rsid w:val="3DD86A9B"/>
    <w:rsid w:val="3E067AAC"/>
    <w:rsid w:val="3E247F32"/>
    <w:rsid w:val="3E2B12C1"/>
    <w:rsid w:val="3E442382"/>
    <w:rsid w:val="3E8F7AA2"/>
    <w:rsid w:val="3E9C3F6D"/>
    <w:rsid w:val="3EC51715"/>
    <w:rsid w:val="3EF20030"/>
    <w:rsid w:val="3EF9316D"/>
    <w:rsid w:val="3F32667F"/>
    <w:rsid w:val="3F3643C1"/>
    <w:rsid w:val="3F52287D"/>
    <w:rsid w:val="3F7F7B16"/>
    <w:rsid w:val="3F8C5D8F"/>
    <w:rsid w:val="3FCA4B09"/>
    <w:rsid w:val="4013200C"/>
    <w:rsid w:val="40271F5C"/>
    <w:rsid w:val="40646D0C"/>
    <w:rsid w:val="407C22A8"/>
    <w:rsid w:val="4090365D"/>
    <w:rsid w:val="409A44DC"/>
    <w:rsid w:val="40B732E0"/>
    <w:rsid w:val="40B750ED"/>
    <w:rsid w:val="40B97058"/>
    <w:rsid w:val="40BC6B48"/>
    <w:rsid w:val="4105229D"/>
    <w:rsid w:val="41214BFD"/>
    <w:rsid w:val="414A7CB0"/>
    <w:rsid w:val="416E7E42"/>
    <w:rsid w:val="41764F49"/>
    <w:rsid w:val="418F600A"/>
    <w:rsid w:val="419453CF"/>
    <w:rsid w:val="41AC2719"/>
    <w:rsid w:val="42006099"/>
    <w:rsid w:val="42051E29"/>
    <w:rsid w:val="42424E2B"/>
    <w:rsid w:val="426B4382"/>
    <w:rsid w:val="42813BA5"/>
    <w:rsid w:val="42984A4B"/>
    <w:rsid w:val="429C453B"/>
    <w:rsid w:val="42A41642"/>
    <w:rsid w:val="43525542"/>
    <w:rsid w:val="436808C1"/>
    <w:rsid w:val="436C6603"/>
    <w:rsid w:val="43994F1E"/>
    <w:rsid w:val="43B35FE0"/>
    <w:rsid w:val="43B72C56"/>
    <w:rsid w:val="43C57AC2"/>
    <w:rsid w:val="442E1B0B"/>
    <w:rsid w:val="444C1F91"/>
    <w:rsid w:val="44550E45"/>
    <w:rsid w:val="44890AEF"/>
    <w:rsid w:val="451A208F"/>
    <w:rsid w:val="455C4456"/>
    <w:rsid w:val="456A6B72"/>
    <w:rsid w:val="45AA3413"/>
    <w:rsid w:val="45D264C6"/>
    <w:rsid w:val="46080139"/>
    <w:rsid w:val="46623CEE"/>
    <w:rsid w:val="46696E2A"/>
    <w:rsid w:val="472745EF"/>
    <w:rsid w:val="47590C4D"/>
    <w:rsid w:val="47723ABC"/>
    <w:rsid w:val="478D6B48"/>
    <w:rsid w:val="47C307BC"/>
    <w:rsid w:val="47D46525"/>
    <w:rsid w:val="47E32C0C"/>
    <w:rsid w:val="48580F04"/>
    <w:rsid w:val="489857A5"/>
    <w:rsid w:val="48B3438D"/>
    <w:rsid w:val="48DF33D4"/>
    <w:rsid w:val="493C0826"/>
    <w:rsid w:val="49697141"/>
    <w:rsid w:val="49AB1508"/>
    <w:rsid w:val="49C34AA3"/>
    <w:rsid w:val="49ED1B20"/>
    <w:rsid w:val="4A0A26D2"/>
    <w:rsid w:val="4A431740"/>
    <w:rsid w:val="4A435BE4"/>
    <w:rsid w:val="4A4A0D21"/>
    <w:rsid w:val="4A5120AF"/>
    <w:rsid w:val="4A62606A"/>
    <w:rsid w:val="4A8F4985"/>
    <w:rsid w:val="4AAF5028"/>
    <w:rsid w:val="4AB80380"/>
    <w:rsid w:val="4ABB1C1E"/>
    <w:rsid w:val="4AE9678B"/>
    <w:rsid w:val="4AEC002A"/>
    <w:rsid w:val="4AFF7D5D"/>
    <w:rsid w:val="4B06733D"/>
    <w:rsid w:val="4B3C2D5F"/>
    <w:rsid w:val="4B50680B"/>
    <w:rsid w:val="4B5F7E85"/>
    <w:rsid w:val="4B72052F"/>
    <w:rsid w:val="4B9C37FE"/>
    <w:rsid w:val="4BA821A3"/>
    <w:rsid w:val="4BE11211"/>
    <w:rsid w:val="4C516396"/>
    <w:rsid w:val="4C6F4A6E"/>
    <w:rsid w:val="4C8B4EDF"/>
    <w:rsid w:val="4CC76658"/>
    <w:rsid w:val="4CCE79E7"/>
    <w:rsid w:val="4CFB6302"/>
    <w:rsid w:val="4CFF2296"/>
    <w:rsid w:val="4D297313"/>
    <w:rsid w:val="4D2C295F"/>
    <w:rsid w:val="4D896004"/>
    <w:rsid w:val="4DA92202"/>
    <w:rsid w:val="4DBC0187"/>
    <w:rsid w:val="4E231FB4"/>
    <w:rsid w:val="4E28581D"/>
    <w:rsid w:val="4E4C150B"/>
    <w:rsid w:val="4E7E368F"/>
    <w:rsid w:val="4EAD5D22"/>
    <w:rsid w:val="4ECF5C98"/>
    <w:rsid w:val="4EE259CC"/>
    <w:rsid w:val="4F2204BE"/>
    <w:rsid w:val="4F3B332E"/>
    <w:rsid w:val="50081462"/>
    <w:rsid w:val="503F0BFC"/>
    <w:rsid w:val="505B3C87"/>
    <w:rsid w:val="507C775A"/>
    <w:rsid w:val="509727E6"/>
    <w:rsid w:val="50AB003F"/>
    <w:rsid w:val="512247A5"/>
    <w:rsid w:val="513D338D"/>
    <w:rsid w:val="51477D68"/>
    <w:rsid w:val="51510BE7"/>
    <w:rsid w:val="51595CED"/>
    <w:rsid w:val="51597A9B"/>
    <w:rsid w:val="516E3547"/>
    <w:rsid w:val="517D5E7F"/>
    <w:rsid w:val="517F5754"/>
    <w:rsid w:val="51844B18"/>
    <w:rsid w:val="51962A9D"/>
    <w:rsid w:val="51C07B1A"/>
    <w:rsid w:val="51D27F79"/>
    <w:rsid w:val="51D81308"/>
    <w:rsid w:val="51E657D3"/>
    <w:rsid w:val="51E952C3"/>
    <w:rsid w:val="52102850"/>
    <w:rsid w:val="522462FB"/>
    <w:rsid w:val="524B3888"/>
    <w:rsid w:val="524D7600"/>
    <w:rsid w:val="529E60AD"/>
    <w:rsid w:val="52A1794C"/>
    <w:rsid w:val="52CF47F3"/>
    <w:rsid w:val="52E837CD"/>
    <w:rsid w:val="52F263F9"/>
    <w:rsid w:val="536A3845"/>
    <w:rsid w:val="538F3C48"/>
    <w:rsid w:val="53BB67EB"/>
    <w:rsid w:val="53E61ABA"/>
    <w:rsid w:val="54501629"/>
    <w:rsid w:val="54556C40"/>
    <w:rsid w:val="545A24A8"/>
    <w:rsid w:val="54A84FC1"/>
    <w:rsid w:val="54C142D5"/>
    <w:rsid w:val="54DA0EF3"/>
    <w:rsid w:val="551B5793"/>
    <w:rsid w:val="55216B22"/>
    <w:rsid w:val="55344AA7"/>
    <w:rsid w:val="557B26D6"/>
    <w:rsid w:val="55992B5C"/>
    <w:rsid w:val="55AF05D2"/>
    <w:rsid w:val="55E55DA1"/>
    <w:rsid w:val="55E71B19"/>
    <w:rsid w:val="56AD68BF"/>
    <w:rsid w:val="56B23ED5"/>
    <w:rsid w:val="56CF2CD9"/>
    <w:rsid w:val="56DC53F6"/>
    <w:rsid w:val="57062473"/>
    <w:rsid w:val="57174680"/>
    <w:rsid w:val="574134AB"/>
    <w:rsid w:val="57713D91"/>
    <w:rsid w:val="577218B7"/>
    <w:rsid w:val="5785783C"/>
    <w:rsid w:val="57FA5783"/>
    <w:rsid w:val="58136BF6"/>
    <w:rsid w:val="587D0513"/>
    <w:rsid w:val="58DD0FB2"/>
    <w:rsid w:val="596D67DA"/>
    <w:rsid w:val="59777658"/>
    <w:rsid w:val="597B2CA5"/>
    <w:rsid w:val="598200A9"/>
    <w:rsid w:val="59B60181"/>
    <w:rsid w:val="59B77A55"/>
    <w:rsid w:val="59DE4FE1"/>
    <w:rsid w:val="5A0233C6"/>
    <w:rsid w:val="5A160C1F"/>
    <w:rsid w:val="5A166E71"/>
    <w:rsid w:val="5A201A9E"/>
    <w:rsid w:val="5A3F0176"/>
    <w:rsid w:val="5A4237C2"/>
    <w:rsid w:val="5A47702B"/>
    <w:rsid w:val="5A7A11AE"/>
    <w:rsid w:val="5ACB7C5C"/>
    <w:rsid w:val="5AD85ED5"/>
    <w:rsid w:val="5B1433B1"/>
    <w:rsid w:val="5B3550D5"/>
    <w:rsid w:val="5B6B0AF7"/>
    <w:rsid w:val="5BAC183B"/>
    <w:rsid w:val="5BAD7361"/>
    <w:rsid w:val="5BB57FC4"/>
    <w:rsid w:val="5BE014E5"/>
    <w:rsid w:val="5BEA5EBF"/>
    <w:rsid w:val="5C3F445D"/>
    <w:rsid w:val="5C514191"/>
    <w:rsid w:val="5C797243"/>
    <w:rsid w:val="5C7D4F86"/>
    <w:rsid w:val="5CC826A5"/>
    <w:rsid w:val="5CD32DF8"/>
    <w:rsid w:val="5D380EAD"/>
    <w:rsid w:val="5D900CE9"/>
    <w:rsid w:val="5DAA3B58"/>
    <w:rsid w:val="5DAD189A"/>
    <w:rsid w:val="5DE132F2"/>
    <w:rsid w:val="5DEC23C3"/>
    <w:rsid w:val="5E31427A"/>
    <w:rsid w:val="5E457D25"/>
    <w:rsid w:val="5ED52E57"/>
    <w:rsid w:val="5EF13A09"/>
    <w:rsid w:val="5F021772"/>
    <w:rsid w:val="5F076D88"/>
    <w:rsid w:val="600532C8"/>
    <w:rsid w:val="609E54CA"/>
    <w:rsid w:val="60A9459B"/>
    <w:rsid w:val="60B62814"/>
    <w:rsid w:val="60D40EEC"/>
    <w:rsid w:val="60DB227B"/>
    <w:rsid w:val="60E318BB"/>
    <w:rsid w:val="61045C75"/>
    <w:rsid w:val="610B7004"/>
    <w:rsid w:val="61FC694D"/>
    <w:rsid w:val="62265778"/>
    <w:rsid w:val="62E93375"/>
    <w:rsid w:val="62F51D1A"/>
    <w:rsid w:val="633A3BD0"/>
    <w:rsid w:val="63416D0D"/>
    <w:rsid w:val="636C7B02"/>
    <w:rsid w:val="63870498"/>
    <w:rsid w:val="63A66B70"/>
    <w:rsid w:val="63D25BB7"/>
    <w:rsid w:val="64283A29"/>
    <w:rsid w:val="644D348F"/>
    <w:rsid w:val="64550596"/>
    <w:rsid w:val="6525440C"/>
    <w:rsid w:val="65314B5F"/>
    <w:rsid w:val="65717652"/>
    <w:rsid w:val="658B24C1"/>
    <w:rsid w:val="659155FE"/>
    <w:rsid w:val="65A166C8"/>
    <w:rsid w:val="65D8322D"/>
    <w:rsid w:val="65DA51F7"/>
    <w:rsid w:val="65E10333"/>
    <w:rsid w:val="65E41BD1"/>
    <w:rsid w:val="66456B14"/>
    <w:rsid w:val="667411A7"/>
    <w:rsid w:val="66C0619B"/>
    <w:rsid w:val="66F66060"/>
    <w:rsid w:val="670544F5"/>
    <w:rsid w:val="67087B42"/>
    <w:rsid w:val="671309C0"/>
    <w:rsid w:val="67BD092C"/>
    <w:rsid w:val="67C27CF0"/>
    <w:rsid w:val="68703BF0"/>
    <w:rsid w:val="68774F7F"/>
    <w:rsid w:val="6894168D"/>
    <w:rsid w:val="68BB130F"/>
    <w:rsid w:val="690D143F"/>
    <w:rsid w:val="693469CC"/>
    <w:rsid w:val="6938470E"/>
    <w:rsid w:val="693E5A9D"/>
    <w:rsid w:val="694C640B"/>
    <w:rsid w:val="696372B1"/>
    <w:rsid w:val="69831701"/>
    <w:rsid w:val="69877444"/>
    <w:rsid w:val="69B8584F"/>
    <w:rsid w:val="69B875FD"/>
    <w:rsid w:val="69CE5072"/>
    <w:rsid w:val="69F66377"/>
    <w:rsid w:val="6A3F1ACC"/>
    <w:rsid w:val="6AB029CA"/>
    <w:rsid w:val="6AC02C0D"/>
    <w:rsid w:val="6ACD532A"/>
    <w:rsid w:val="6B0A20DA"/>
    <w:rsid w:val="6B9A16B0"/>
    <w:rsid w:val="6BF40694"/>
    <w:rsid w:val="6C060AF4"/>
    <w:rsid w:val="6C225202"/>
    <w:rsid w:val="6C2B2308"/>
    <w:rsid w:val="6C353187"/>
    <w:rsid w:val="6C90660F"/>
    <w:rsid w:val="6C9A123C"/>
    <w:rsid w:val="6CEB5F3B"/>
    <w:rsid w:val="6D301BA0"/>
    <w:rsid w:val="6D806684"/>
    <w:rsid w:val="6D940381"/>
    <w:rsid w:val="6DB93944"/>
    <w:rsid w:val="6DEC1F6B"/>
    <w:rsid w:val="6E1D2124"/>
    <w:rsid w:val="6E3000AA"/>
    <w:rsid w:val="6E533D98"/>
    <w:rsid w:val="6E6B2E90"/>
    <w:rsid w:val="6E70494A"/>
    <w:rsid w:val="6E7A7577"/>
    <w:rsid w:val="6E867CCA"/>
    <w:rsid w:val="6E8D72AA"/>
    <w:rsid w:val="6EB74327"/>
    <w:rsid w:val="6EBE3907"/>
    <w:rsid w:val="6EE92007"/>
    <w:rsid w:val="6F0926A9"/>
    <w:rsid w:val="6F174DC6"/>
    <w:rsid w:val="6F286FD3"/>
    <w:rsid w:val="6F2D6397"/>
    <w:rsid w:val="6F5C4ECE"/>
    <w:rsid w:val="6F6A75EB"/>
    <w:rsid w:val="6F6D0E8A"/>
    <w:rsid w:val="6F771D08"/>
    <w:rsid w:val="6FB46AB9"/>
    <w:rsid w:val="6FD11419"/>
    <w:rsid w:val="6FF944CB"/>
    <w:rsid w:val="70182BA3"/>
    <w:rsid w:val="707D50FC"/>
    <w:rsid w:val="70871AD7"/>
    <w:rsid w:val="709A5CAE"/>
    <w:rsid w:val="709D754D"/>
    <w:rsid w:val="70E76A1A"/>
    <w:rsid w:val="711D243B"/>
    <w:rsid w:val="712F289B"/>
    <w:rsid w:val="714F6A99"/>
    <w:rsid w:val="715C11B6"/>
    <w:rsid w:val="71973F9C"/>
    <w:rsid w:val="71AC3EEB"/>
    <w:rsid w:val="71C34D91"/>
    <w:rsid w:val="72457E9C"/>
    <w:rsid w:val="726E2F4F"/>
    <w:rsid w:val="72895FDA"/>
    <w:rsid w:val="72A204D7"/>
    <w:rsid w:val="72A42E14"/>
    <w:rsid w:val="731004AA"/>
    <w:rsid w:val="734F0FD2"/>
    <w:rsid w:val="73A40BF2"/>
    <w:rsid w:val="73B2330F"/>
    <w:rsid w:val="73DE4104"/>
    <w:rsid w:val="73F0360B"/>
    <w:rsid w:val="7419513C"/>
    <w:rsid w:val="7443040B"/>
    <w:rsid w:val="746C1710"/>
    <w:rsid w:val="7524023C"/>
    <w:rsid w:val="75243D99"/>
    <w:rsid w:val="755521A4"/>
    <w:rsid w:val="75986535"/>
    <w:rsid w:val="75DE663D"/>
    <w:rsid w:val="75EB2B08"/>
    <w:rsid w:val="760065B4"/>
    <w:rsid w:val="7601057E"/>
    <w:rsid w:val="762C55FB"/>
    <w:rsid w:val="76593F16"/>
    <w:rsid w:val="76742AFE"/>
    <w:rsid w:val="767B3E8C"/>
    <w:rsid w:val="769853B1"/>
    <w:rsid w:val="76A72ED3"/>
    <w:rsid w:val="77316C41"/>
    <w:rsid w:val="778B00FF"/>
    <w:rsid w:val="77A411C1"/>
    <w:rsid w:val="77C90C27"/>
    <w:rsid w:val="77DE0B76"/>
    <w:rsid w:val="77F55EC0"/>
    <w:rsid w:val="78191BAF"/>
    <w:rsid w:val="783C589D"/>
    <w:rsid w:val="78540E39"/>
    <w:rsid w:val="786848E4"/>
    <w:rsid w:val="78C733B9"/>
    <w:rsid w:val="78D67AA0"/>
    <w:rsid w:val="78F817C4"/>
    <w:rsid w:val="790E548B"/>
    <w:rsid w:val="79116D2A"/>
    <w:rsid w:val="79167E9C"/>
    <w:rsid w:val="79490272"/>
    <w:rsid w:val="794E5888"/>
    <w:rsid w:val="79B7167F"/>
    <w:rsid w:val="79C124FE"/>
    <w:rsid w:val="7A431165"/>
    <w:rsid w:val="7AC04563"/>
    <w:rsid w:val="7B4E1B6F"/>
    <w:rsid w:val="7B851309"/>
    <w:rsid w:val="7C1D7794"/>
    <w:rsid w:val="7C2154D6"/>
    <w:rsid w:val="7D4A280A"/>
    <w:rsid w:val="7D621902"/>
    <w:rsid w:val="7DE62533"/>
    <w:rsid w:val="7DF62253"/>
    <w:rsid w:val="7E1A042F"/>
    <w:rsid w:val="7E290672"/>
    <w:rsid w:val="7E3C2153"/>
    <w:rsid w:val="7E576F8D"/>
    <w:rsid w:val="7E9B156F"/>
    <w:rsid w:val="7EB13E44"/>
    <w:rsid w:val="7EB268B9"/>
    <w:rsid w:val="7EB4618D"/>
    <w:rsid w:val="7ECD36F3"/>
    <w:rsid w:val="7ECD724F"/>
    <w:rsid w:val="7EE03426"/>
    <w:rsid w:val="7FA75CF2"/>
    <w:rsid w:val="7FBE4DEA"/>
    <w:rsid w:val="7FE17456"/>
    <w:rsid w:val="7FEC7BA9"/>
    <w:rsid w:val="7FFF168A"/>
    <w:rsid w:val="F32BC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autoRedefine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TML Acronym"/>
    <w:basedOn w:val="7"/>
    <w:autoRedefine/>
    <w:qFormat/>
    <w:uiPriority w:val="0"/>
  </w:style>
  <w:style w:type="character" w:styleId="12">
    <w:name w:val="Hyperlink"/>
    <w:basedOn w:val="7"/>
    <w:autoRedefine/>
    <w:qFormat/>
    <w:uiPriority w:val="0"/>
    <w:rPr>
      <w:color w:val="333333"/>
      <w:u w:val="none"/>
    </w:rPr>
  </w:style>
  <w:style w:type="character" w:styleId="13">
    <w:name w:val="HTML Code"/>
    <w:basedOn w:val="7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6">
    <w:name w:val="BodyText1I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17">
    <w:name w:val="BodyTextIndent"/>
    <w:autoRedefine/>
    <w:qFormat/>
    <w:uiPriority w:val="0"/>
    <w:pPr>
      <w:widowControl w:val="0"/>
      <w:spacing w:line="360" w:lineRule="auto"/>
      <w:ind w:firstLine="480"/>
      <w:jc w:val="left"/>
    </w:pPr>
    <w:rPr>
      <w:rFonts w:ascii="Calibri" w:hAnsi="Calibri" w:eastAsia="宋体" w:cs="仿宋_GB2312"/>
      <w:kern w:val="0"/>
      <w:sz w:val="20"/>
      <w:szCs w:val="20"/>
      <w:lang w:val="en-US" w:eastAsia="zh-CN" w:bidi="ar-SA"/>
    </w:rPr>
  </w:style>
  <w:style w:type="paragraph" w:customStyle="1" w:styleId="18">
    <w:name w:val="Normal (Web)"/>
    <w:autoRedefine/>
    <w:qFormat/>
    <w:uiPriority w:val="0"/>
    <w:pPr>
      <w:widowControl w:val="0"/>
      <w:spacing w:before="100" w:beforeAutospacing="1" w:after="100" w:afterAutospacing="1"/>
      <w:jc w:val="left"/>
    </w:pPr>
    <w:rPr>
      <w:rFonts w:ascii="仿宋_GB2312" w:hAnsi="Times New Roman" w:eastAsia="仿宋_GB2312" w:cs="Times New Roman"/>
      <w:kern w:val="0"/>
      <w:sz w:val="24"/>
      <w:szCs w:val="32"/>
      <w:lang w:val="en-US" w:eastAsia="zh-CN" w:bidi="ar-SA"/>
    </w:rPr>
  </w:style>
  <w:style w:type="character" w:customStyle="1" w:styleId="19">
    <w:name w:val="over"/>
    <w:basedOn w:val="7"/>
    <w:qFormat/>
    <w:uiPriority w:val="0"/>
    <w:rPr>
      <w:color w:val="666666"/>
    </w:rPr>
  </w:style>
  <w:style w:type="character" w:customStyle="1" w:styleId="20">
    <w:name w:val="c1"/>
    <w:basedOn w:val="7"/>
    <w:autoRedefine/>
    <w:qFormat/>
    <w:uiPriority w:val="0"/>
  </w:style>
  <w:style w:type="character" w:customStyle="1" w:styleId="21">
    <w:name w:val="c2"/>
    <w:basedOn w:val="7"/>
    <w:autoRedefine/>
    <w:qFormat/>
    <w:uiPriority w:val="0"/>
  </w:style>
  <w:style w:type="character" w:customStyle="1" w:styleId="22">
    <w:name w:val="c3"/>
    <w:basedOn w:val="7"/>
    <w:qFormat/>
    <w:uiPriority w:val="0"/>
  </w:style>
  <w:style w:type="character" w:customStyle="1" w:styleId="23">
    <w:name w:val="buvis"/>
    <w:basedOn w:val="7"/>
    <w:autoRedefine/>
    <w:qFormat/>
    <w:uiPriority w:val="0"/>
    <w:rPr>
      <w:color w:val="999999"/>
    </w:rPr>
  </w:style>
  <w:style w:type="character" w:customStyle="1" w:styleId="24">
    <w:name w:val="buvis1"/>
    <w:basedOn w:val="7"/>
    <w:autoRedefine/>
    <w:qFormat/>
    <w:uiPriority w:val="0"/>
    <w:rPr>
      <w:color w:val="CC0000"/>
    </w:rPr>
  </w:style>
  <w:style w:type="character" w:customStyle="1" w:styleId="25">
    <w:name w:val="msg-box"/>
    <w:basedOn w:val="7"/>
    <w:qFormat/>
    <w:uiPriority w:val="0"/>
  </w:style>
  <w:style w:type="character" w:customStyle="1" w:styleId="26">
    <w:name w:val="starting"/>
    <w:basedOn w:val="7"/>
    <w:autoRedefine/>
    <w:qFormat/>
    <w:uiPriority w:val="0"/>
    <w:rPr>
      <w:color w:val="FFFFFF"/>
      <w:shd w:val="clear" w:fill="BD1A2C"/>
    </w:rPr>
  </w:style>
  <w:style w:type="character" w:customStyle="1" w:styleId="27">
    <w:name w:val="msg-box6"/>
    <w:basedOn w:val="7"/>
    <w:autoRedefine/>
    <w:qFormat/>
    <w:uiPriority w:val="0"/>
  </w:style>
  <w:style w:type="character" w:customStyle="1" w:styleId="28">
    <w:name w:val="over6"/>
    <w:basedOn w:val="7"/>
    <w:autoRedefine/>
    <w:qFormat/>
    <w:uiPriority w:val="0"/>
    <w:rPr>
      <w:color w:val="666666"/>
    </w:rPr>
  </w:style>
  <w:style w:type="character" w:customStyle="1" w:styleId="29">
    <w:name w:val="msg-box5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2024-01-22T08:27:00Z</dcterms:created>
  <dc:creator>落禅</dc:creator>
  <cp:lastModifiedBy>落禅</cp:lastModifiedBy>
  <cp:lastPrinted>2024-01-23T08:14:00Z</cp:lastPrinted>
  <dcterms:modified xsi:type="dcterms:W3CDTF">2024-02-21T00:41:35Z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8B1AF72686FB45B9AA1FF3254C8C2F6B_11</vt:lpwstr>
  </property>
</Properties>
</file>