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金寨县</w:t>
      </w:r>
      <w:r>
        <w:rPr>
          <w:rFonts w:hint="eastAsia" w:ascii="方正小标宋简体" w:hAnsi="方正小标宋简体" w:eastAsia="方正小标宋简体" w:cs="方正小标宋简体"/>
          <w:sz w:val="44"/>
          <w:szCs w:val="44"/>
          <w:lang w:val="en-US" w:eastAsia="zh-CN"/>
        </w:rPr>
        <w:t>中药（西山药库）产业发展中心</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pPr>
        <w:jc w:val="center"/>
        <w:rPr>
          <w:rFonts w:hint="eastAsia" w:ascii="方正小标宋简体" w:hAnsi="方正小标宋简体" w:eastAsia="方正小标宋简体" w:cs="方正小标宋简体"/>
          <w:sz w:val="44"/>
          <w:szCs w:val="4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00" w:lineRule="exact"/>
        <w:ind w:left="0" w:right="0" w:firstLine="640"/>
        <w:jc w:val="both"/>
        <w:textAlignment w:val="auto"/>
        <w:rPr>
          <w:rFonts w:ascii="仿宋_GB2312" w:eastAsia="仿宋_GB2312" w:cs="仿宋_GB2312"/>
          <w:i w:val="0"/>
          <w:caps w:val="0"/>
          <w:color w:val="000000"/>
          <w:spacing w:val="0"/>
          <w:sz w:val="32"/>
          <w:szCs w:val="32"/>
        </w:rPr>
      </w:pPr>
      <w:r>
        <w:rPr>
          <w:rFonts w:ascii="方正仿宋_GBK" w:hAnsi="方正仿宋_GBK" w:eastAsia="方正仿宋_GBK" w:cs="方正仿宋_GBK"/>
          <w:i w:val="0"/>
          <w:caps w:val="0"/>
          <w:color w:val="000000"/>
          <w:spacing w:val="0"/>
          <w:sz w:val="32"/>
          <w:szCs w:val="32"/>
          <w:shd w:val="clear" w:fill="FFFFFF"/>
        </w:rPr>
        <w:t>本报告依据《中华人民共和国政府信息公开条例》（国务院令第</w:t>
      </w:r>
      <w:r>
        <w:rPr>
          <w:rFonts w:hint="default" w:ascii="Times New Roman" w:hAnsi="Times New Roman" w:eastAsia="方正仿宋_GBK" w:cs="Times New Roman"/>
          <w:i w:val="0"/>
          <w:caps w:val="0"/>
          <w:color w:val="000000"/>
          <w:spacing w:val="0"/>
          <w:sz w:val="32"/>
          <w:szCs w:val="32"/>
          <w:shd w:val="clear" w:fill="FFFFFF"/>
        </w:rPr>
        <w:t>711</w:t>
      </w:r>
      <w:r>
        <w:rPr>
          <w:rFonts w:hint="default" w:ascii="方正仿宋_GBK" w:hAnsi="方正仿宋_GBK" w:eastAsia="方正仿宋_GBK" w:cs="方正仿宋_GBK"/>
          <w:i w:val="0"/>
          <w:caps w:val="0"/>
          <w:color w:val="000000"/>
          <w:spacing w:val="0"/>
          <w:sz w:val="32"/>
          <w:szCs w:val="32"/>
          <w:shd w:val="clear" w:fill="FFFFFF"/>
        </w:rPr>
        <w:t>号）和《国务院办公厅政府信息与政务公开办公室关于印发〈中华人民共和国政府信息公开工作年度报告格式〉的通知》（国办公开办函〔</w:t>
      </w:r>
      <w:r>
        <w:rPr>
          <w:rFonts w:hint="default" w:ascii="Times New Roman" w:hAnsi="Times New Roman" w:eastAsia="方正仿宋_GBK" w:cs="Times New Roman"/>
          <w:i w:val="0"/>
          <w:caps w:val="0"/>
          <w:color w:val="000000"/>
          <w:spacing w:val="0"/>
          <w:sz w:val="32"/>
          <w:szCs w:val="32"/>
          <w:shd w:val="clear" w:fill="FFFFFF"/>
        </w:rPr>
        <w:t>2021</w:t>
      </w:r>
      <w:r>
        <w:rPr>
          <w:rFonts w:hint="default" w:ascii="方正仿宋_GBK" w:hAnsi="方正仿宋_GBK" w:eastAsia="方正仿宋_GBK" w:cs="方正仿宋_GBK"/>
          <w:i w:val="0"/>
          <w:caps w:val="0"/>
          <w:color w:val="000000"/>
          <w:spacing w:val="0"/>
          <w:sz w:val="32"/>
          <w:szCs w:val="32"/>
          <w:shd w:val="clear" w:fill="FFFFFF"/>
        </w:rPr>
        <w:t>〕</w:t>
      </w:r>
      <w:r>
        <w:rPr>
          <w:rFonts w:hint="default" w:ascii="Times New Roman" w:hAnsi="Times New Roman" w:eastAsia="方正仿宋_GBK" w:cs="Times New Roman"/>
          <w:i w:val="0"/>
          <w:caps w:val="0"/>
          <w:color w:val="000000"/>
          <w:spacing w:val="0"/>
          <w:sz w:val="32"/>
          <w:szCs w:val="32"/>
          <w:shd w:val="clear" w:fill="FFFFFF"/>
        </w:rPr>
        <w:t>30</w:t>
      </w:r>
      <w:r>
        <w:rPr>
          <w:rFonts w:hint="default" w:ascii="方正仿宋_GBK" w:hAnsi="方正仿宋_GBK" w:eastAsia="方正仿宋_GBK" w:cs="方正仿宋_GBK"/>
          <w:i w:val="0"/>
          <w:caps w:val="0"/>
          <w:color w:val="000000"/>
          <w:spacing w:val="0"/>
          <w:sz w:val="32"/>
          <w:szCs w:val="32"/>
          <w:shd w:val="clear" w:fill="FFFFFF"/>
        </w:rPr>
        <w:t>号）要求，结合县政府办政府信息公开工作有关统计数据撰写。报告主要包括：总体情况、主动公开政府信息情况、收到和处理政府信息公开申请情况、政府信息公开行政复议行政诉讼情况、存在的主要问题及改进情况和其他需要报告的事项。本报告中使用数据统计期限为</w:t>
      </w:r>
      <w:r>
        <w:rPr>
          <w:rFonts w:hint="default" w:ascii="Times New Roman" w:hAnsi="Times New Roman" w:eastAsia="方正仿宋_GBK" w:cs="Times New Roman"/>
          <w:i w:val="0"/>
          <w:caps w:val="0"/>
          <w:color w:val="000000"/>
          <w:spacing w:val="0"/>
          <w:sz w:val="32"/>
          <w:szCs w:val="32"/>
          <w:shd w:val="clear" w:fill="FFFFFF"/>
        </w:rPr>
        <w:t>2023</w:t>
      </w:r>
      <w:r>
        <w:rPr>
          <w:rFonts w:hint="default" w:ascii="方正仿宋_GBK" w:hAnsi="方正仿宋_GBK" w:eastAsia="方正仿宋_GBK" w:cs="方正仿宋_GBK"/>
          <w:i w:val="0"/>
          <w:caps w:val="0"/>
          <w:color w:val="000000"/>
          <w:spacing w:val="0"/>
          <w:sz w:val="32"/>
          <w:szCs w:val="32"/>
          <w:shd w:val="clear" w:fill="FFFFFF"/>
        </w:rPr>
        <w:t>年</w:t>
      </w:r>
      <w:r>
        <w:rPr>
          <w:rFonts w:hint="default" w:ascii="Times New Roman" w:hAnsi="Times New Roman" w:eastAsia="方正仿宋_GBK" w:cs="Times New Roman"/>
          <w:i w:val="0"/>
          <w:caps w:val="0"/>
          <w:color w:val="000000"/>
          <w:spacing w:val="0"/>
          <w:sz w:val="32"/>
          <w:szCs w:val="32"/>
          <w:shd w:val="clear" w:fill="FFFFFF"/>
        </w:rPr>
        <w:t>1</w:t>
      </w:r>
      <w:r>
        <w:rPr>
          <w:rFonts w:hint="default" w:ascii="方正仿宋_GBK" w:hAnsi="方正仿宋_GBK" w:eastAsia="方正仿宋_GBK" w:cs="方正仿宋_GBK"/>
          <w:i w:val="0"/>
          <w:caps w:val="0"/>
          <w:color w:val="000000"/>
          <w:spacing w:val="0"/>
          <w:sz w:val="32"/>
          <w:szCs w:val="32"/>
          <w:shd w:val="clear" w:fill="FFFFFF"/>
        </w:rPr>
        <w:t>月</w:t>
      </w:r>
      <w:r>
        <w:rPr>
          <w:rFonts w:hint="default" w:ascii="Times New Roman" w:hAnsi="Times New Roman" w:eastAsia="方正仿宋_GBK" w:cs="Times New Roman"/>
          <w:i w:val="0"/>
          <w:caps w:val="0"/>
          <w:color w:val="000000"/>
          <w:spacing w:val="0"/>
          <w:sz w:val="32"/>
          <w:szCs w:val="32"/>
          <w:shd w:val="clear" w:fill="FFFFFF"/>
        </w:rPr>
        <w:t>1</w:t>
      </w:r>
      <w:r>
        <w:rPr>
          <w:rFonts w:hint="default" w:ascii="方正仿宋_GBK" w:hAnsi="方正仿宋_GBK" w:eastAsia="方正仿宋_GBK" w:cs="方正仿宋_GBK"/>
          <w:i w:val="0"/>
          <w:caps w:val="0"/>
          <w:color w:val="000000"/>
          <w:spacing w:val="0"/>
          <w:sz w:val="32"/>
          <w:szCs w:val="32"/>
          <w:shd w:val="clear" w:fill="FFFFFF"/>
        </w:rPr>
        <w:t>日至</w:t>
      </w:r>
      <w:r>
        <w:rPr>
          <w:rFonts w:hint="default" w:ascii="Times New Roman" w:hAnsi="Times New Roman" w:eastAsia="方正仿宋_GBK" w:cs="Times New Roman"/>
          <w:i w:val="0"/>
          <w:caps w:val="0"/>
          <w:color w:val="000000"/>
          <w:spacing w:val="0"/>
          <w:sz w:val="32"/>
          <w:szCs w:val="32"/>
          <w:shd w:val="clear" w:fill="FFFFFF"/>
        </w:rPr>
        <w:t>12</w:t>
      </w:r>
      <w:r>
        <w:rPr>
          <w:rFonts w:hint="default" w:ascii="方正仿宋_GBK" w:hAnsi="方正仿宋_GBK" w:eastAsia="方正仿宋_GBK" w:cs="方正仿宋_GBK"/>
          <w:i w:val="0"/>
          <w:caps w:val="0"/>
          <w:color w:val="000000"/>
          <w:spacing w:val="0"/>
          <w:sz w:val="32"/>
          <w:szCs w:val="32"/>
          <w:shd w:val="clear" w:fill="FFFFFF"/>
        </w:rPr>
        <w:t>月</w:t>
      </w:r>
      <w:r>
        <w:rPr>
          <w:rFonts w:hint="default" w:ascii="Times New Roman" w:hAnsi="Times New Roman" w:eastAsia="方正仿宋_GBK" w:cs="Times New Roman"/>
          <w:i w:val="0"/>
          <w:caps w:val="0"/>
          <w:color w:val="000000"/>
          <w:spacing w:val="0"/>
          <w:sz w:val="32"/>
          <w:szCs w:val="32"/>
          <w:shd w:val="clear" w:fill="FFFFFF"/>
        </w:rPr>
        <w:t>31</w:t>
      </w:r>
      <w:r>
        <w:rPr>
          <w:rFonts w:hint="default" w:ascii="方正仿宋_GBK" w:hAnsi="方正仿宋_GBK" w:eastAsia="方正仿宋_GBK" w:cs="方正仿宋_GBK"/>
          <w:i w:val="0"/>
          <w:caps w:val="0"/>
          <w:color w:val="000000"/>
          <w:spacing w:val="0"/>
          <w:sz w:val="32"/>
          <w:szCs w:val="32"/>
          <w:shd w:val="clear" w:fill="FFFFFF"/>
        </w:rPr>
        <w:t>日。报告的电子版可在金寨县信息公开（</w:t>
      </w:r>
      <w:r>
        <w:rPr>
          <w:rFonts w:hint="default" w:ascii="Times New Roman" w:hAnsi="Times New Roman" w:eastAsia="方正仿宋_GBK" w:cs="Times New Roman"/>
          <w:i w:val="0"/>
          <w:caps w:val="0"/>
          <w:color w:val="000000"/>
          <w:spacing w:val="0"/>
          <w:sz w:val="32"/>
          <w:szCs w:val="32"/>
          <w:shd w:val="clear" w:fill="FFFFFF"/>
        </w:rPr>
        <w:t>http://www.ahjinzhai.gov.cn/public/index.html</w:t>
      </w:r>
      <w:r>
        <w:rPr>
          <w:rFonts w:hint="default" w:ascii="方正仿宋_GBK" w:hAnsi="方正仿宋_GBK" w:eastAsia="方正仿宋_GBK" w:cs="方正仿宋_GBK"/>
          <w:i w:val="0"/>
          <w:caps w:val="0"/>
          <w:color w:val="000000"/>
          <w:spacing w:val="0"/>
          <w:sz w:val="32"/>
          <w:szCs w:val="32"/>
          <w:shd w:val="clear" w:fill="FFFFFF"/>
        </w:rPr>
        <w:t>）下载。如对本报告有任何疑问，请与金寨县</w:t>
      </w:r>
      <w:r>
        <w:rPr>
          <w:rFonts w:hint="eastAsia" w:ascii="方正仿宋_GBK" w:hAnsi="方正仿宋_GBK" w:eastAsia="方正仿宋_GBK" w:cs="方正仿宋_GBK"/>
          <w:i w:val="0"/>
          <w:caps w:val="0"/>
          <w:color w:val="000000"/>
          <w:spacing w:val="0"/>
          <w:sz w:val="32"/>
          <w:szCs w:val="32"/>
          <w:shd w:val="clear" w:fill="FFFFFF"/>
          <w:lang w:val="en-US" w:eastAsia="zh-CN"/>
        </w:rPr>
        <w:t>中药（西山药库）产业发展中心办公室</w:t>
      </w:r>
      <w:r>
        <w:rPr>
          <w:rFonts w:hint="default" w:ascii="方正仿宋_GBK" w:hAnsi="方正仿宋_GBK" w:eastAsia="方正仿宋_GBK" w:cs="方正仿宋_GBK"/>
          <w:i w:val="0"/>
          <w:caps w:val="0"/>
          <w:color w:val="000000"/>
          <w:spacing w:val="0"/>
          <w:sz w:val="32"/>
          <w:szCs w:val="32"/>
          <w:shd w:val="clear" w:fill="FFFFFF"/>
        </w:rPr>
        <w:t>联系（地址：金寨县</w:t>
      </w:r>
      <w:r>
        <w:rPr>
          <w:rFonts w:hint="eastAsia" w:ascii="方正仿宋_GBK" w:hAnsi="方正仿宋_GBK" w:eastAsia="方正仿宋_GBK" w:cs="方正仿宋_GBK"/>
          <w:i w:val="0"/>
          <w:caps w:val="0"/>
          <w:color w:val="000000"/>
          <w:spacing w:val="0"/>
          <w:sz w:val="32"/>
          <w:szCs w:val="32"/>
          <w:shd w:val="clear" w:fill="FFFFFF"/>
          <w:lang w:val="en-US" w:eastAsia="zh-CN"/>
        </w:rPr>
        <w:t>林业东边6楼</w:t>
      </w:r>
      <w:r>
        <w:rPr>
          <w:rFonts w:hint="default" w:ascii="方正仿宋_GBK" w:hAnsi="方正仿宋_GBK" w:eastAsia="方正仿宋_GBK" w:cs="方正仿宋_GBK"/>
          <w:i w:val="0"/>
          <w:caps w:val="0"/>
          <w:color w:val="000000"/>
          <w:spacing w:val="0"/>
          <w:sz w:val="32"/>
          <w:szCs w:val="32"/>
          <w:shd w:val="clear" w:fill="FFFFFF"/>
        </w:rPr>
        <w:t>，电话：</w:t>
      </w:r>
      <w:r>
        <w:rPr>
          <w:rFonts w:hint="default" w:ascii="Times New Roman" w:hAnsi="Times New Roman" w:eastAsia="方正仿宋_GBK" w:cs="Times New Roman"/>
          <w:i w:val="0"/>
          <w:caps w:val="0"/>
          <w:color w:val="000000"/>
          <w:spacing w:val="0"/>
          <w:sz w:val="32"/>
          <w:szCs w:val="32"/>
          <w:shd w:val="clear" w:fill="FFFFFF"/>
        </w:rPr>
        <w:t>0564--</w:t>
      </w:r>
      <w:r>
        <w:rPr>
          <w:rFonts w:hint="eastAsia" w:ascii="Times New Roman" w:hAnsi="Times New Roman" w:eastAsia="方正仿宋_GBK" w:cs="Times New Roman"/>
          <w:i w:val="0"/>
          <w:caps w:val="0"/>
          <w:color w:val="000000"/>
          <w:spacing w:val="0"/>
          <w:sz w:val="32"/>
          <w:szCs w:val="32"/>
          <w:shd w:val="clear" w:fill="FFFFFF"/>
          <w:lang w:val="en-US" w:eastAsia="zh-CN"/>
        </w:rPr>
        <w:t>7167788</w:t>
      </w:r>
      <w:r>
        <w:rPr>
          <w:rFonts w:hint="default" w:ascii="方正仿宋_GBK" w:hAnsi="方正仿宋_GBK" w:eastAsia="方正仿宋_GBK" w:cs="方正仿宋_GBK"/>
          <w:i w:val="0"/>
          <w:caps w:val="0"/>
          <w:color w:val="000000"/>
          <w:spacing w:val="0"/>
          <w:sz w:val="32"/>
          <w:szCs w:val="32"/>
          <w:shd w:val="clear" w:fill="FFFFFF"/>
        </w:rPr>
        <w:t>，邮编：</w:t>
      </w:r>
      <w:r>
        <w:rPr>
          <w:rFonts w:hint="default" w:ascii="Times New Roman" w:hAnsi="Times New Roman" w:eastAsia="方正仿宋_GBK" w:cs="Times New Roman"/>
          <w:i w:val="0"/>
          <w:caps w:val="0"/>
          <w:color w:val="000000"/>
          <w:spacing w:val="0"/>
          <w:sz w:val="32"/>
          <w:szCs w:val="32"/>
          <w:shd w:val="clear" w:fill="FFFFFF"/>
        </w:rPr>
        <w:t>237300</w:t>
      </w:r>
      <w:r>
        <w:rPr>
          <w:rFonts w:hint="default" w:ascii="方正仿宋_GBK" w:hAnsi="方正仿宋_GBK" w:eastAsia="方正仿宋_GBK" w:cs="方正仿宋_GBK"/>
          <w:i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eastAsia" w:ascii="仿宋_GB2312" w:eastAsia="仿宋_GB2312" w:cs="仿宋_GB2312"/>
          <w:i w:val="0"/>
          <w:caps w:val="0"/>
          <w:color w:val="000000"/>
          <w:spacing w:val="0"/>
          <w:sz w:val="32"/>
          <w:szCs w:val="32"/>
        </w:rPr>
      </w:pPr>
      <w:r>
        <w:rPr>
          <w:rFonts w:ascii="黑体" w:hAnsi="宋体" w:eastAsia="黑体" w:cs="黑体"/>
          <w:i w:val="0"/>
          <w:caps w:val="0"/>
          <w:color w:val="000000"/>
          <w:spacing w:val="0"/>
          <w:sz w:val="32"/>
          <w:szCs w:val="32"/>
          <w:shd w:val="clear" w:fill="FFFFFF"/>
        </w:rPr>
        <w:t>一</w:t>
      </w:r>
      <w:r>
        <w:rPr>
          <w:rFonts w:hint="eastAsia" w:ascii="黑体" w:hAnsi="宋体" w:eastAsia="黑体" w:cs="黑体"/>
          <w:b/>
          <w:i w:val="0"/>
          <w:caps w:val="0"/>
          <w:color w:val="000000"/>
          <w:spacing w:val="0"/>
          <w:sz w:val="32"/>
          <w:szCs w:val="32"/>
          <w:shd w:val="clear" w:fill="FFFFFF"/>
        </w:rPr>
        <w:t>、</w:t>
      </w:r>
      <w:r>
        <w:rPr>
          <w:rFonts w:hint="eastAsia" w:ascii="黑体" w:hAnsi="宋体" w:eastAsia="黑体" w:cs="黑体"/>
          <w:i w:val="0"/>
          <w:caps w:val="0"/>
          <w:color w:val="000000"/>
          <w:spacing w:val="0"/>
          <w:sz w:val="32"/>
          <w:szCs w:val="32"/>
          <w:shd w:val="clear" w:fill="FFFFFF"/>
        </w:rPr>
        <w:t>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both"/>
        <w:textAlignment w:val="auto"/>
        <w:rPr>
          <w:rFonts w:hint="eastAsia" w:ascii="仿宋_GB2312" w:eastAsia="仿宋_GB2312" w:cs="仿宋_GB2312"/>
          <w:i w:val="0"/>
          <w:caps w:val="0"/>
          <w:color w:val="000000"/>
          <w:spacing w:val="0"/>
          <w:sz w:val="24"/>
          <w:szCs w:val="24"/>
        </w:rPr>
      </w:pPr>
      <w:r>
        <w:rPr>
          <w:rFonts w:ascii="楷体_GB2312" w:eastAsia="楷体_GB2312" w:cs="楷体_GB2312"/>
          <w:b/>
          <w:i w:val="0"/>
          <w:caps w:val="0"/>
          <w:color w:val="000000"/>
          <w:spacing w:val="0"/>
          <w:sz w:val="32"/>
          <w:szCs w:val="32"/>
          <w:shd w:val="clear" w:fill="FFFFFF"/>
        </w:rPr>
        <w:t>（一）主动公开情况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both"/>
        <w:textAlignment w:val="auto"/>
        <w:rPr>
          <w:rFonts w:hint="eastAsia" w:ascii="仿宋_GB2312" w:eastAsia="仿宋_GB2312" w:cs="仿宋_GB2312"/>
          <w:i w:val="0"/>
          <w:caps w:val="0"/>
          <w:color w:val="000000"/>
          <w:spacing w:val="0"/>
          <w:sz w:val="24"/>
          <w:szCs w:val="24"/>
        </w:rPr>
      </w:pPr>
      <w:r>
        <w:rPr>
          <w:rFonts w:hint="eastAsia" w:ascii="仿宋_GB2312" w:eastAsia="仿宋_GB2312" w:cs="仿宋_GB2312"/>
          <w:b/>
          <w:i w:val="0"/>
          <w:caps w:val="0"/>
          <w:color w:val="000000"/>
          <w:spacing w:val="0"/>
          <w:sz w:val="32"/>
          <w:szCs w:val="32"/>
          <w:shd w:val="clear" w:fill="FFFFFF"/>
        </w:rPr>
        <w:t>开展重点工作提升行动</w:t>
      </w:r>
      <w:r>
        <w:rPr>
          <w:rFonts w:hint="eastAsia" w:ascii="仿宋_GB2312" w:eastAsia="仿宋_GB2312" w:cs="仿宋_GB2312"/>
          <w:b w:val="0"/>
          <w:i w:val="0"/>
          <w:caps w:val="0"/>
          <w:color w:val="000000"/>
          <w:spacing w:val="0"/>
          <w:sz w:val="32"/>
          <w:szCs w:val="32"/>
          <w:shd w:val="clear" w:fill="FFFFFF"/>
        </w:rPr>
        <w:t>。202</w:t>
      </w:r>
      <w:r>
        <w:rPr>
          <w:rFonts w:hint="eastAsia" w:ascii="仿宋_GB2312" w:eastAsia="仿宋_GB2312" w:cs="仿宋_GB2312"/>
          <w:b w:val="0"/>
          <w:i w:val="0"/>
          <w:caps w:val="0"/>
          <w:color w:val="000000"/>
          <w:spacing w:val="0"/>
          <w:sz w:val="32"/>
          <w:szCs w:val="32"/>
          <w:shd w:val="clear" w:fill="FFFFFF"/>
          <w:lang w:val="en-US" w:eastAsia="zh-CN"/>
        </w:rPr>
        <w:t>3</w:t>
      </w:r>
      <w:r>
        <w:rPr>
          <w:rFonts w:hint="eastAsia" w:ascii="仿宋_GB2312" w:eastAsia="仿宋_GB2312" w:cs="仿宋_GB2312"/>
          <w:b w:val="0"/>
          <w:i w:val="0"/>
          <w:caps w:val="0"/>
          <w:color w:val="000000"/>
          <w:spacing w:val="0"/>
          <w:sz w:val="32"/>
          <w:szCs w:val="32"/>
          <w:shd w:val="clear" w:fill="FFFFFF"/>
        </w:rPr>
        <w:t>年，金寨县中药产业中心在县政务公开办的统一指导下，严格落实以公开为常态，不公开为例外的原则，对照政务公开测评体系各项指标，认真完成各项政务公开工作任务。履行重大行政决策程序，公开意见</w:t>
      </w:r>
      <w:r>
        <w:rPr>
          <w:rFonts w:hint="eastAsia" w:ascii="仿宋_GB2312" w:eastAsia="仿宋_GB2312" w:cs="仿宋_GB2312"/>
          <w:i w:val="0"/>
          <w:caps w:val="0"/>
          <w:color w:val="000000"/>
          <w:spacing w:val="0"/>
          <w:sz w:val="32"/>
          <w:szCs w:val="32"/>
          <w:shd w:val="clear" w:fill="FFFFFF"/>
        </w:rPr>
        <w:t>征集</w:t>
      </w:r>
      <w:r>
        <w:rPr>
          <w:rFonts w:hint="eastAsia" w:ascii="仿宋_GB2312" w:eastAsia="仿宋_GB2312" w:cs="仿宋_GB2312"/>
          <w:i w:val="0"/>
          <w:caps w:val="0"/>
          <w:color w:val="000000"/>
          <w:spacing w:val="0"/>
          <w:sz w:val="32"/>
          <w:szCs w:val="32"/>
          <w:shd w:val="clear" w:fill="FFFFFF"/>
          <w:lang w:val="en-US" w:eastAsia="zh-CN"/>
        </w:rPr>
        <w:t>1</w:t>
      </w:r>
      <w:r>
        <w:rPr>
          <w:rFonts w:hint="eastAsia" w:ascii="仿宋_GB2312" w:eastAsia="仿宋_GB2312" w:cs="仿宋_GB2312"/>
          <w:i w:val="0"/>
          <w:caps w:val="0"/>
          <w:color w:val="000000"/>
          <w:spacing w:val="0"/>
          <w:sz w:val="32"/>
          <w:szCs w:val="32"/>
          <w:shd w:val="clear" w:fill="FFFFFF"/>
        </w:rPr>
        <w:t>件，通过意见库征求公众意见，听取群众反馈。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eastAsia="仿宋_GB2312" w:cs="仿宋_GB2312"/>
          <w:b/>
          <w:bCs/>
          <w:i w:val="0"/>
          <w:caps w:val="0"/>
          <w:color w:val="000000"/>
          <w:spacing w:val="0"/>
          <w:sz w:val="32"/>
          <w:szCs w:val="32"/>
          <w:shd w:val="clear" w:fill="FFFFFF"/>
        </w:rPr>
        <w:t>切实提高政策解读质量。</w:t>
      </w:r>
      <w:r>
        <w:rPr>
          <w:rFonts w:hint="eastAsia" w:ascii="仿宋_GB2312" w:eastAsia="仿宋_GB2312" w:cs="仿宋_GB2312"/>
          <w:i w:val="0"/>
          <w:caps w:val="0"/>
          <w:color w:val="000000"/>
          <w:spacing w:val="0"/>
          <w:sz w:val="32"/>
          <w:szCs w:val="32"/>
          <w:shd w:val="clear" w:fill="FFFFFF"/>
        </w:rPr>
        <w:t>严格落实政策解读“三同步”制度，注重对政策背景、出台目的、重要举措等方面的实质性解读</w:t>
      </w:r>
      <w:r>
        <w:rPr>
          <w:rFonts w:hint="eastAsia" w:ascii="仿宋_GB2312" w:eastAsia="仿宋_GB2312" w:cs="仿宋_GB2312"/>
          <w:i w:val="0"/>
          <w:caps w:val="0"/>
          <w:color w:val="000000"/>
          <w:spacing w:val="0"/>
          <w:sz w:val="32"/>
          <w:szCs w:val="32"/>
          <w:shd w:val="clear" w:fill="FFFFFF"/>
          <w:lang w:eastAsia="zh-CN"/>
        </w:rPr>
        <w:t>，</w:t>
      </w:r>
      <w:r>
        <w:rPr>
          <w:rFonts w:hint="eastAsia" w:ascii="仿宋_GB2312" w:eastAsia="仿宋_GB2312" w:cs="仿宋_GB2312"/>
          <w:i w:val="0"/>
          <w:caps w:val="0"/>
          <w:color w:val="000000"/>
          <w:spacing w:val="0"/>
          <w:sz w:val="32"/>
          <w:szCs w:val="32"/>
          <w:shd w:val="clear" w:fill="FFFFFF"/>
          <w:lang w:val="en-US" w:eastAsia="zh-CN"/>
        </w:rPr>
        <w:t>注重</w:t>
      </w:r>
      <w:r>
        <w:rPr>
          <w:rFonts w:hint="eastAsia" w:ascii="仿宋_GB2312" w:hAnsi="仿宋_GB2312" w:eastAsia="仿宋_GB2312" w:cs="仿宋_GB2312"/>
          <w:i w:val="0"/>
          <w:iCs w:val="0"/>
          <w:caps w:val="0"/>
          <w:color w:val="auto"/>
          <w:spacing w:val="0"/>
          <w:kern w:val="2"/>
          <w:sz w:val="32"/>
          <w:szCs w:val="32"/>
          <w:shd w:val="clear" w:fill="FFFFFF"/>
          <w:lang w:val="en-US" w:eastAsia="zh-CN" w:bidi="ar-SA"/>
        </w:rPr>
        <w:t>上级和本级方案政策及时进行分析解读。通过图文、简明问答等多种形式解读2023年“两强一增”行动、金寨县国家森林生态道地药材产业示范基地专项规划和中药材奖补政策，增加政策解读效果，提高解读工作质量。2023年通过负责人、媒体等多种方式解读政策方案共12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both"/>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eastAsia="仿宋_GB2312" w:cs="仿宋_GB2312"/>
          <w:b/>
          <w:bCs/>
          <w:i w:val="0"/>
          <w:caps w:val="0"/>
          <w:color w:val="000000"/>
          <w:spacing w:val="0"/>
          <w:sz w:val="32"/>
          <w:szCs w:val="32"/>
          <w:shd w:val="clear" w:fill="FFFFFF"/>
        </w:rPr>
        <w:t>积极回应社会关切。</w:t>
      </w:r>
      <w:r>
        <w:rPr>
          <w:rFonts w:hint="eastAsia" w:ascii="仿宋_GB2312" w:eastAsia="仿宋_GB2312" w:cs="仿宋_GB2312"/>
          <w:i w:val="0"/>
          <w:caps w:val="0"/>
          <w:color w:val="000000"/>
          <w:spacing w:val="0"/>
          <w:sz w:val="32"/>
          <w:szCs w:val="32"/>
          <w:shd w:val="clear" w:fill="FFFFFF"/>
        </w:rPr>
        <w:t>202</w:t>
      </w:r>
      <w:r>
        <w:rPr>
          <w:rFonts w:hint="eastAsia" w:ascii="仿宋_GB2312" w:eastAsia="仿宋_GB2312" w:cs="仿宋_GB2312"/>
          <w:i w:val="0"/>
          <w:caps w:val="0"/>
          <w:color w:val="000000"/>
          <w:spacing w:val="0"/>
          <w:sz w:val="32"/>
          <w:szCs w:val="32"/>
          <w:shd w:val="clear" w:fill="FFFFFF"/>
          <w:lang w:val="en-US" w:eastAsia="zh-CN"/>
        </w:rPr>
        <w:t>3</w:t>
      </w:r>
      <w:r>
        <w:rPr>
          <w:rFonts w:hint="eastAsia" w:ascii="仿宋_GB2312" w:eastAsia="仿宋_GB2312" w:cs="仿宋_GB2312"/>
          <w:i w:val="0"/>
          <w:caps w:val="0"/>
          <w:color w:val="000000"/>
          <w:spacing w:val="0"/>
          <w:sz w:val="32"/>
          <w:szCs w:val="32"/>
          <w:shd w:val="clear" w:fill="FFFFFF"/>
        </w:rPr>
        <w:t>年金寨县中药产业中心做好县政府重点领域信息公开，加强对中药材产业相关热点的关注与回应</w:t>
      </w:r>
      <w:r>
        <w:rPr>
          <w:rFonts w:hint="eastAsia" w:ascii="仿宋_GB2312" w:eastAsia="仿宋_GB2312" w:cs="仿宋_GB2312"/>
          <w:i w:val="0"/>
          <w:caps w:val="0"/>
          <w:color w:val="000000"/>
          <w:spacing w:val="0"/>
          <w:sz w:val="32"/>
          <w:szCs w:val="32"/>
          <w:shd w:val="clear" w:fill="FFFFFF"/>
          <w:lang w:eastAsia="zh-CN"/>
        </w:rPr>
        <w:t>。</w:t>
      </w:r>
      <w:r>
        <w:rPr>
          <w:rFonts w:hint="eastAsia" w:ascii="仿宋_GB2312" w:eastAsia="仿宋_GB2312" w:cs="仿宋_GB2312"/>
          <w:i w:val="0"/>
          <w:caps w:val="0"/>
          <w:color w:val="000000"/>
          <w:spacing w:val="0"/>
          <w:sz w:val="32"/>
          <w:szCs w:val="32"/>
          <w:shd w:val="clear" w:fill="FFFFFF"/>
        </w:rPr>
        <w:t>通过百姓畅言、部门信箱、意见征集、办事服务等渠道，广泛听取社会各界意见和建议，自觉接受社会各界监督，提高政务服务水平。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eastAsia="仿宋_GB2312" w:cs="仿宋_GB2312"/>
          <w:i w:val="0"/>
          <w:caps w:val="0"/>
          <w:color w:val="000000"/>
          <w:spacing w:val="0"/>
          <w:sz w:val="32"/>
          <w:szCs w:val="32"/>
        </w:rPr>
      </w:pPr>
      <w:r>
        <w:rPr>
          <w:rFonts w:hint="default" w:ascii="楷体_GB2312" w:eastAsia="楷体_GB2312" w:cs="楷体_GB2312"/>
          <w:b/>
          <w:i w:val="0"/>
          <w:caps w:val="0"/>
          <w:color w:val="000000"/>
          <w:spacing w:val="0"/>
          <w:sz w:val="32"/>
          <w:szCs w:val="32"/>
          <w:shd w:val="clear" w:fill="FFFFFF"/>
        </w:rPr>
        <w:t>（二）依申请公开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exact"/>
        <w:ind w:left="0" w:right="0" w:firstLine="641"/>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严格按照信息公开新条例要求，妥善做好依申请公开办理相关工作。全年未收到依申请公开申请，无行政复议、行政诉讼产生。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eastAsia="仿宋_GB2312" w:cs="仿宋_GB2312"/>
          <w:i w:val="0"/>
          <w:caps w:val="0"/>
          <w:color w:val="000000"/>
          <w:spacing w:val="0"/>
          <w:sz w:val="32"/>
          <w:szCs w:val="32"/>
        </w:rPr>
      </w:pPr>
      <w:r>
        <w:rPr>
          <w:rFonts w:hint="default" w:ascii="楷体_GB2312" w:eastAsia="楷体_GB2312" w:cs="楷体_GB2312"/>
          <w:b/>
          <w:i w:val="0"/>
          <w:caps w:val="0"/>
          <w:color w:val="000000"/>
          <w:spacing w:val="0"/>
          <w:sz w:val="32"/>
          <w:szCs w:val="32"/>
          <w:shd w:val="clear" w:fill="FFFFFF"/>
        </w:rPr>
        <w:t>（三）政府信息管理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739"/>
        <w:jc w:val="both"/>
        <w:textAlignment w:val="auto"/>
        <w:rPr>
          <w:rFonts w:hint="eastAsia" w:ascii="仿宋_GB2312" w:eastAsia="仿宋_GB2312" w:cs="仿宋_GB2312"/>
          <w:i w:val="0"/>
          <w:caps w:val="0"/>
          <w:color w:val="000000"/>
          <w:spacing w:val="0"/>
          <w:sz w:val="32"/>
          <w:szCs w:val="32"/>
          <w:shd w:val="clear" w:fill="FFFFFF"/>
          <w:lang w:val="en-US" w:eastAsia="zh-CN"/>
        </w:rPr>
      </w:pPr>
      <w:r>
        <w:rPr>
          <w:rFonts w:hint="eastAsia" w:ascii="仿宋_GB2312" w:eastAsia="仿宋_GB2312" w:cs="仿宋_GB2312"/>
          <w:i w:val="0"/>
          <w:caps w:val="0"/>
          <w:color w:val="000000"/>
          <w:spacing w:val="0"/>
          <w:sz w:val="32"/>
          <w:szCs w:val="32"/>
          <w:shd w:val="clear" w:fill="FFFFFF"/>
        </w:rPr>
        <w:t>优化行政规范性文件专栏，</w:t>
      </w:r>
      <w:r>
        <w:rPr>
          <w:rFonts w:hint="eastAsia" w:ascii="仿宋_GB2312" w:eastAsia="仿宋_GB2312" w:cs="仿宋_GB2312"/>
          <w:i w:val="0"/>
          <w:caps w:val="0"/>
          <w:color w:val="000000"/>
          <w:spacing w:val="0"/>
          <w:sz w:val="32"/>
          <w:szCs w:val="32"/>
          <w:shd w:val="clear" w:fill="FFFFFF"/>
          <w:lang w:val="en-US" w:eastAsia="zh-CN"/>
        </w:rPr>
        <w:t>建立健全政务公开信息三审制度，按照“谁发布，谁审查”和“事前审查”的原则，确保政务公开信息的准确性、及时性。定期开展网站普查和专项排查，重点排查重大错别字和泄漏隐私等信息。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eastAsia="仿宋_GB2312" w:cs="仿宋_GB2312"/>
          <w:i w:val="0"/>
          <w:caps w:val="0"/>
          <w:color w:val="000000"/>
          <w:spacing w:val="0"/>
          <w:sz w:val="32"/>
          <w:szCs w:val="32"/>
        </w:rPr>
      </w:pPr>
      <w:r>
        <w:rPr>
          <w:rFonts w:hint="default" w:ascii="楷体_GB2312" w:eastAsia="楷体_GB2312" w:cs="楷体_GB2312"/>
          <w:b/>
          <w:i w:val="0"/>
          <w:caps w:val="0"/>
          <w:color w:val="000000"/>
          <w:spacing w:val="0"/>
          <w:sz w:val="32"/>
          <w:szCs w:val="32"/>
          <w:shd w:val="clear" w:fill="FFFFFF"/>
        </w:rPr>
        <w:t>（四）政府信息公开平台建设情况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0"/>
        <w:jc w:val="both"/>
        <w:textAlignment w:val="auto"/>
        <w:rPr>
          <w:rFonts w:hint="default" w:ascii="仿宋_GB2312" w:eastAsia="仿宋_GB2312" w:cs="仿宋_GB2312"/>
          <w:i w:val="0"/>
          <w:caps w:val="0"/>
          <w:color w:val="000000"/>
          <w:spacing w:val="0"/>
          <w:sz w:val="32"/>
          <w:szCs w:val="32"/>
          <w:lang w:val="en-US" w:eastAsia="zh-CN"/>
        </w:rPr>
      </w:pPr>
      <w:r>
        <w:rPr>
          <w:rFonts w:hint="eastAsia" w:ascii="仿宋_GB2312" w:eastAsia="仿宋_GB2312" w:cs="仿宋_GB2312"/>
          <w:i w:val="0"/>
          <w:caps w:val="0"/>
          <w:color w:val="000000"/>
          <w:spacing w:val="0"/>
          <w:sz w:val="32"/>
          <w:szCs w:val="32"/>
          <w:shd w:val="clear" w:fill="FFFFFF"/>
        </w:rPr>
        <w:t>我中心进一步增强政府信息公开平台栏目的科学性，加强平台建设和栏目管理，以服务好群众为目标，积极回应社会关切，发挥好政务公开网为信息发布主平台的作用。</w:t>
      </w:r>
      <w:r>
        <w:rPr>
          <w:rFonts w:hint="eastAsia" w:ascii="仿宋_GB2312" w:eastAsia="仿宋_GB2312" w:cs="仿宋_GB2312"/>
          <w:i w:val="0"/>
          <w:caps w:val="0"/>
          <w:color w:val="000000"/>
          <w:spacing w:val="0"/>
          <w:sz w:val="32"/>
          <w:szCs w:val="32"/>
          <w:shd w:val="clear" w:fill="FFFFFF"/>
          <w:lang w:val="en-US" w:eastAsia="zh-CN"/>
        </w:rPr>
        <w:t>同时结合我中心项目实施情况，及时与县政务公开办公室对接，开设财政资金栏目，全年共计发布29条。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eastAsia="仿宋_GB2312" w:cs="仿宋_GB2312"/>
          <w:i w:val="0"/>
          <w:caps w:val="0"/>
          <w:color w:val="000000"/>
          <w:spacing w:val="0"/>
          <w:sz w:val="32"/>
          <w:szCs w:val="32"/>
        </w:rPr>
      </w:pPr>
      <w:r>
        <w:rPr>
          <w:rFonts w:hint="default" w:ascii="楷体_GB2312" w:eastAsia="楷体_GB2312" w:cs="楷体_GB2312"/>
          <w:b/>
          <w:i w:val="0"/>
          <w:caps w:val="0"/>
          <w:color w:val="000000"/>
          <w:spacing w:val="0"/>
          <w:sz w:val="32"/>
          <w:szCs w:val="32"/>
          <w:shd w:val="clear" w:fill="FFFFFF"/>
        </w:rPr>
        <w:t>（五）监督保障</w:t>
      </w:r>
    </w:p>
    <w:p>
      <w:pPr>
        <w:keepNext w:val="0"/>
        <w:keepLines w:val="0"/>
        <w:pageBreakBefore w:val="0"/>
        <w:kinsoku/>
        <w:overflowPunct/>
        <w:topLinePunct w:val="0"/>
        <w:autoSpaceDE/>
        <w:autoSpaceDN/>
        <w:bidi w:val="0"/>
        <w:adjustRightInd/>
        <w:snapToGrid/>
        <w:spacing w:line="500" w:lineRule="exact"/>
        <w:ind w:firstLine="640" w:firstLineChars="200"/>
        <w:textAlignment w:val="auto"/>
        <w:rPr>
          <w:rFonts w:hint="eastAsia" w:ascii="仿宋_GB2312" w:eastAsia="仿宋_GB2312" w:cs="仿宋_GB2312"/>
          <w:i w:val="0"/>
          <w:caps w:val="0"/>
          <w:color w:val="000000"/>
          <w:spacing w:val="0"/>
          <w:sz w:val="32"/>
          <w:szCs w:val="32"/>
          <w:shd w:val="clear" w:fill="FFFFFF"/>
          <w:lang w:val="en-US" w:eastAsia="zh-CN"/>
        </w:rPr>
      </w:pPr>
      <w:r>
        <w:rPr>
          <w:rFonts w:hint="eastAsia" w:ascii="仿宋_GB2312" w:eastAsia="仿宋_GB2312" w:cs="仿宋_GB2312" w:hAnsiTheme="minorHAnsi"/>
          <w:i w:val="0"/>
          <w:caps w:val="0"/>
          <w:color w:val="000000"/>
          <w:spacing w:val="0"/>
          <w:kern w:val="0"/>
          <w:sz w:val="32"/>
          <w:szCs w:val="32"/>
          <w:shd w:val="clear" w:fill="FFFFFF"/>
          <w:lang w:val="en-US" w:eastAsia="zh-CN" w:bidi="ar"/>
        </w:rPr>
        <w:t>每季度根据县政务公开办监测反馈问题，安排专人负责，逐条对照问题清单及时整改到位，形成整改情况报告和整改清单，及时在“监督保障”栏目中公开。</w:t>
      </w:r>
      <w:r>
        <w:rPr>
          <w:rFonts w:hint="eastAsia" w:ascii="仿宋_GB2312" w:eastAsia="仿宋_GB2312" w:cs="仿宋_GB2312"/>
          <w:i w:val="0"/>
          <w:caps w:val="0"/>
          <w:color w:val="000000"/>
          <w:spacing w:val="0"/>
          <w:sz w:val="32"/>
          <w:szCs w:val="32"/>
          <w:shd w:val="clear" w:fill="FFFFFF"/>
          <w:lang w:val="en-US" w:eastAsia="zh-CN"/>
        </w:rPr>
        <w:t>政务公开工作人员深入学习《中华人民共和国政府信息公开条例》，确保学深悟透、学以致用。在工作中，严格落实中心政务公开相关管理制度，压紧压实各方责任，并将政务公开工作纳入年度绩效考核，确保我中心政务公开工作健康有序发展。</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0" w:firstLineChars="200"/>
        <w:jc w:val="both"/>
        <w:textAlignment w:val="auto"/>
        <w:rPr>
          <w:rFonts w:hint="eastAsia" w:ascii="黑体" w:hAnsi="黑体" w:eastAsia="黑体" w:cs="黑体"/>
          <w:b w:val="0"/>
          <w:bCs/>
          <w:color w:val="auto"/>
          <w:kern w:val="0"/>
          <w:sz w:val="32"/>
          <w:szCs w:val="32"/>
          <w:highlight w:val="none"/>
          <w:u w:val="none" w:color="auto"/>
          <w:shd w:val="clear" w:color="auto" w:fill="auto"/>
        </w:rPr>
      </w:pPr>
      <w:r>
        <w:rPr>
          <w:rFonts w:hint="eastAsia" w:ascii="黑体" w:hAnsi="黑体" w:eastAsia="黑体" w:cs="黑体"/>
          <w:b w:val="0"/>
          <w:bCs/>
          <w:color w:val="auto"/>
          <w:kern w:val="0"/>
          <w:sz w:val="32"/>
          <w:szCs w:val="32"/>
          <w:highlight w:val="none"/>
          <w:u w:val="none" w:color="auto"/>
          <w:shd w:val="clear" w:color="auto" w:fill="auto"/>
        </w:rPr>
        <w:t>二、主动公开政府信息情况</w:t>
      </w:r>
    </w:p>
    <w:tbl>
      <w:tblPr>
        <w:tblStyle w:val="4"/>
        <w:tblW w:w="0" w:type="auto"/>
        <w:jc w:val="center"/>
        <w:tblLayout w:type="fixed"/>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现行有效件数</w:t>
            </w:r>
          </w:p>
        </w:tc>
      </w:tr>
      <w:tr>
        <w:tblPrEx>
          <w:tblCellMar>
            <w:top w:w="0" w:type="dxa"/>
            <w:left w:w="0" w:type="dxa"/>
            <w:bottom w:w="0" w:type="dxa"/>
            <w:right w:w="0"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left"/>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1"/>
                <w:szCs w:val="21"/>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本年处理决定数量</w:t>
            </w:r>
          </w:p>
        </w:tc>
      </w:tr>
      <w:tr>
        <w:tblPrEx>
          <w:tblCellMar>
            <w:top w:w="0" w:type="dxa"/>
            <w:left w:w="0" w:type="dxa"/>
            <w:bottom w:w="0" w:type="dxa"/>
            <w:right w:w="0"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hint="default" w:ascii="宋体" w:hAnsi="宋体" w:eastAsia="宋体" w:cs="宋体"/>
                <w:color w:val="auto"/>
                <w:kern w:val="0"/>
                <w:sz w:val="20"/>
                <w:szCs w:val="20"/>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宋体" w:hAnsi="宋体" w:eastAsia="宋体" w:cs="宋体"/>
                <w:color w:val="auto"/>
                <w:kern w:val="0"/>
                <w:sz w:val="20"/>
                <w:szCs w:val="20"/>
                <w:highlight w:val="none"/>
                <w:u w:val="none" w:color="auto"/>
                <w:shd w:val="clear" w:color="auto" w:fill="auto"/>
                <w:lang w:eastAsia="zh-CN"/>
              </w:rPr>
            </w:pPr>
            <w:r>
              <w:rPr>
                <w:rFonts w:hint="eastAsia" w:ascii="宋体" w:hAnsi="宋体" w:eastAsia="宋体" w:cs="宋体"/>
                <w:color w:val="auto"/>
                <w:kern w:val="0"/>
                <w:sz w:val="20"/>
                <w:szCs w:val="20"/>
                <w:highlight w:val="none"/>
                <w:u w:val="none" w:color="auto"/>
                <w:shd w:val="clear" w:color="auto" w:fill="auto"/>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rPr>
                <w:rFonts w:hint="eastAsia" w:ascii="宋体" w:hAnsi="Calibri" w:eastAsia="宋体" w:cs="Times New Roman"/>
                <w:color w:val="auto"/>
                <w:sz w:val="24"/>
                <w:szCs w:val="24"/>
                <w:highlight w:val="none"/>
                <w:u w:val="none" w:color="auto"/>
                <w:shd w:val="clear" w:color="auto" w:fill="auto"/>
                <w:lang w:val="en-US" w:eastAsia="zh-CN"/>
              </w:rPr>
            </w:pPr>
            <w:r>
              <w:rPr>
                <w:rFonts w:hint="eastAsia" w:ascii="宋体" w:hAnsi="Calibri" w:eastAsia="宋体" w:cs="Times New Roman"/>
                <w:color w:val="auto"/>
                <w:sz w:val="24"/>
                <w:szCs w:val="24"/>
                <w:highlight w:val="none"/>
                <w:u w:val="none" w:color="auto"/>
                <w:shd w:val="clear" w:color="auto" w:fill="auto"/>
                <w:lang w:val="en-US" w:eastAsia="zh-CN"/>
              </w:rPr>
              <w:t>0</w:t>
            </w:r>
          </w:p>
        </w:tc>
      </w:tr>
    </w:tbl>
    <w:p>
      <w:pPr>
        <w:keepNext/>
        <w:keepLines/>
        <w:pageBreakBefore w:val="0"/>
        <w:widowControl w:val="0"/>
        <w:kinsoku/>
        <w:wordWrap/>
        <w:overflowPunct/>
        <w:topLinePunct w:val="0"/>
        <w:autoSpaceDE/>
        <w:autoSpaceDN/>
        <w:bidi w:val="0"/>
        <w:adjustRightInd/>
        <w:snapToGrid/>
        <w:spacing w:before="260" w:beforeLines="0" w:beforeAutospacing="0" w:after="260" w:afterLines="0" w:afterAutospacing="0" w:line="413" w:lineRule="auto"/>
        <w:jc w:val="both"/>
        <w:textAlignment w:val="auto"/>
        <w:outlineLvl w:val="2"/>
        <w:rPr>
          <w:rFonts w:hint="eastAsia" w:ascii="黑体" w:hAnsi="黑体" w:eastAsia="黑体" w:cs="黑体"/>
          <w:b w:val="0"/>
          <w:bCs/>
          <w:kern w:val="2"/>
          <w:sz w:val="32"/>
          <w:szCs w:val="24"/>
          <w:shd w:val="clear" w:color="auto" w:fill="auto"/>
          <w:lang w:val="en-US" w:eastAsia="zh-CN" w:bidi="ar-SA"/>
        </w:rPr>
      </w:pPr>
      <w:r>
        <w:rPr>
          <w:rFonts w:hint="eastAsia" w:ascii="黑体" w:hAnsi="黑体" w:eastAsia="黑体" w:cs="黑体"/>
          <w:b w:val="0"/>
          <w:bCs/>
          <w:kern w:val="2"/>
          <w:sz w:val="32"/>
          <w:szCs w:val="24"/>
          <w:shd w:val="clear" w:color="auto" w:fill="auto"/>
          <w:lang w:val="en-US" w:eastAsia="zh-CN" w:bidi="ar-SA"/>
        </w:rPr>
        <w:t>三、收到和处理政府信息公开申请情况</w:t>
      </w:r>
    </w:p>
    <w:tbl>
      <w:tblPr>
        <w:tblStyle w:val="4"/>
        <w:tblW w:w="974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jc w:val="left"/>
              <w:rPr>
                <w:rFonts w:ascii="Calibri" w:hAnsi="Calibri" w:eastAsia="宋体" w:cs="Times New Roman"/>
                <w:color w:val="auto"/>
                <w:highlight w:val="none"/>
                <w:u w:val="none" w:color="auto"/>
                <w:shd w:val="clear" w:color="auto" w:fill="auto"/>
              </w:rPr>
            </w:pPr>
            <w:r>
              <w:rPr>
                <w:rFonts w:hint="default" w:ascii="楷体" w:hAnsi="楷体" w:eastAsia="楷体" w:cs="楷体"/>
                <w:color w:val="auto"/>
                <w:kern w:val="0"/>
                <w:sz w:val="20"/>
                <w:szCs w:val="20"/>
                <w:highlight w:val="none"/>
                <w:u w:val="none" w:color="auto"/>
                <w:shd w:val="clear" w:color="auto" w:fill="auto"/>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自然人</w:t>
            </w:r>
          </w:p>
        </w:tc>
        <w:tc>
          <w:tcPr>
            <w:tcW w:w="344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法人或其他组织</w:t>
            </w:r>
          </w:p>
        </w:tc>
        <w:tc>
          <w:tcPr>
            <w:tcW w:w="688" w:type="dxa"/>
            <w:vMerge w:val="restart"/>
            <w:tcBorders>
              <w:top w:val="single" w:color="auto" w:sz="8" w:space="0"/>
              <w:left w:val="nil"/>
              <w:bottom w:val="outset"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88" w:type="dxa"/>
            <w:tcBorders>
              <w:top w:val="nil"/>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商业</w:t>
            </w:r>
          </w:p>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企业</w:t>
            </w:r>
          </w:p>
        </w:tc>
        <w:tc>
          <w:tcPr>
            <w:tcW w:w="688" w:type="dxa"/>
            <w:tcBorders>
              <w:top w:val="nil"/>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科研</w:t>
            </w:r>
          </w:p>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机构</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社会公益组织</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法律服务机构</w:t>
            </w:r>
          </w:p>
        </w:tc>
        <w:tc>
          <w:tcPr>
            <w:tcW w:w="688"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其他</w:t>
            </w:r>
          </w:p>
        </w:tc>
        <w:tc>
          <w:tcPr>
            <w:tcW w:w="688" w:type="dxa"/>
            <w:vMerge w:val="continue"/>
            <w:tcBorders>
              <w:top w:val="single" w:color="auto" w:sz="8" w:space="0"/>
              <w:left w:val="nil"/>
              <w:bottom w:val="outset"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（二）部分公开</w:t>
            </w:r>
            <w:r>
              <w:rPr>
                <w:rFonts w:hint="eastAsia" w:ascii="楷体" w:hAnsi="楷体" w:eastAsia="楷体" w:cs="楷体"/>
                <w:color w:val="auto"/>
                <w:kern w:val="0"/>
                <w:sz w:val="20"/>
                <w:szCs w:val="20"/>
                <w:highlight w:val="none"/>
                <w:u w:val="none" w:color="auto"/>
                <w:shd w:val="clear" w:color="auto" w:fill="auto"/>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hint="eastAsia" w:ascii="Calibri" w:hAnsi="Calibri" w:eastAsia="宋体" w:cs="Times New Roman"/>
                <w:color w:val="auto"/>
                <w:highlight w:val="none"/>
                <w:u w:val="none" w:color="auto"/>
                <w:shd w:val="clear" w:color="auto" w:fill="auto"/>
                <w:lang w:eastAsia="zh-CN"/>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.危及</w:t>
            </w:r>
            <w:r>
              <w:rPr>
                <w:rFonts w:hint="eastAsia" w:ascii="宋体" w:hAnsi="宋体" w:eastAsia="宋体" w:cs="宋体"/>
                <w:color w:val="auto"/>
                <w:kern w:val="0"/>
                <w:sz w:val="20"/>
                <w:szCs w:val="20"/>
                <w:highlight w:val="none"/>
                <w:u w:val="none" w:color="auto"/>
                <w:shd w:val="clear" w:color="auto" w:fill="auto"/>
                <w:lang w:eastAsia="zh-CN"/>
              </w:rPr>
              <w:t>“</w:t>
            </w:r>
            <w:r>
              <w:rPr>
                <w:rFonts w:hint="eastAsia" w:ascii="宋体" w:hAnsi="宋体" w:eastAsia="宋体" w:cs="宋体"/>
                <w:color w:val="auto"/>
                <w:kern w:val="0"/>
                <w:sz w:val="20"/>
                <w:szCs w:val="20"/>
                <w:highlight w:val="none"/>
                <w:u w:val="none" w:color="auto"/>
                <w:shd w:val="clear" w:color="auto" w:fill="auto"/>
              </w:rPr>
              <w:t>三安全一稳定</w:t>
            </w:r>
            <w:r>
              <w:rPr>
                <w:rFonts w:hint="eastAsia" w:ascii="宋体" w:hAnsi="宋体" w:eastAsia="宋体" w:cs="宋体"/>
                <w:color w:val="auto"/>
                <w:kern w:val="0"/>
                <w:sz w:val="20"/>
                <w:szCs w:val="20"/>
                <w:highlight w:val="none"/>
                <w:u w:val="none" w:color="auto"/>
                <w:shd w:val="clear" w:color="auto" w:fill="auto"/>
                <w:lang w:eastAsia="zh-CN"/>
              </w:rPr>
              <w:t>”</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2" w:hRule="atLeast"/>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4</w:t>
            </w:r>
            <w:r>
              <w:rPr>
                <w:rFonts w:hint="eastAsia" w:ascii="宋体" w:hAnsi="宋体" w:eastAsia="宋体" w:cs="宋体"/>
                <w:color w:val="auto"/>
                <w:kern w:val="0"/>
                <w:sz w:val="20"/>
                <w:szCs w:val="20"/>
                <w:highlight w:val="none"/>
                <w:u w:val="none" w:color="auto"/>
                <w:shd w:val="clear" w:color="auto" w:fill="auto"/>
              </w:rPr>
              <w:t>.保护第三方合法权益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5</w:t>
            </w:r>
            <w:r>
              <w:rPr>
                <w:rFonts w:hint="eastAsia" w:ascii="宋体" w:hAnsi="宋体" w:eastAsia="宋体" w:cs="宋体"/>
                <w:color w:val="auto"/>
                <w:kern w:val="0"/>
                <w:sz w:val="20"/>
                <w:szCs w:val="20"/>
                <w:highlight w:val="none"/>
                <w:u w:val="none" w:color="auto"/>
                <w:shd w:val="clear" w:color="auto" w:fill="auto"/>
              </w:rPr>
              <w:t>.属于三类内部事务信息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6</w:t>
            </w:r>
            <w:r>
              <w:rPr>
                <w:rFonts w:hint="eastAsia" w:ascii="宋体" w:hAnsi="宋体" w:eastAsia="宋体" w:cs="宋体"/>
                <w:color w:val="auto"/>
                <w:kern w:val="0"/>
                <w:sz w:val="20"/>
                <w:szCs w:val="20"/>
                <w:highlight w:val="none"/>
                <w:u w:val="none" w:color="auto"/>
                <w:shd w:val="clear" w:color="auto" w:fill="auto"/>
              </w:rPr>
              <w:t>.属于四类过程性信息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7</w:t>
            </w:r>
            <w:r>
              <w:rPr>
                <w:rFonts w:hint="eastAsia" w:ascii="宋体" w:hAnsi="宋体" w:eastAsia="宋体" w:cs="宋体"/>
                <w:color w:val="auto"/>
                <w:kern w:val="0"/>
                <w:sz w:val="20"/>
                <w:szCs w:val="20"/>
                <w:highlight w:val="none"/>
                <w:u w:val="none" w:color="auto"/>
                <w:shd w:val="clear" w:color="auto" w:fill="auto"/>
              </w:rPr>
              <w:t>.属于行政执法案卷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8</w:t>
            </w:r>
            <w:r>
              <w:rPr>
                <w:rFonts w:hint="eastAsia" w:ascii="宋体" w:hAnsi="宋体" w:eastAsia="宋体" w:cs="宋体"/>
                <w:color w:val="auto"/>
                <w:kern w:val="0"/>
                <w:sz w:val="20"/>
                <w:szCs w:val="20"/>
                <w:highlight w:val="none"/>
                <w:u w:val="none" w:color="auto"/>
                <w:shd w:val="clear" w:color="auto" w:fill="auto"/>
              </w:rPr>
              <w:t>.属于行政查询事项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ascii="Calibri" w:hAnsi="Calibri" w:eastAsia="宋体" w:cs="Times New Roman"/>
                <w:color w:val="auto"/>
                <w:highlight w:val="none"/>
                <w:u w:val="none" w:color="auto"/>
                <w:shd w:val="clear" w:color="auto" w:fill="auto"/>
              </w:rPr>
            </w:pPr>
            <w:r>
              <w:rPr>
                <w:rFonts w:hint="default" w:ascii="Calibri" w:hAnsi="Calibri" w:eastAsia="宋体" w:cs="Calibri"/>
                <w:color w:val="auto"/>
                <w:kern w:val="0"/>
                <w:sz w:val="20"/>
                <w:szCs w:val="20"/>
                <w:highlight w:val="none"/>
                <w:u w:val="none" w:color="auto"/>
                <w:shd w:val="clear" w:color="auto" w:fill="auto"/>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top"/>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4</w:t>
            </w:r>
            <w:r>
              <w:rPr>
                <w:rFonts w:hint="eastAsia" w:ascii="宋体" w:hAnsi="宋体" w:eastAsia="宋体" w:cs="宋体"/>
                <w:color w:val="auto"/>
                <w:kern w:val="0"/>
                <w:sz w:val="20"/>
                <w:szCs w:val="20"/>
                <w:highlight w:val="none"/>
                <w:u w:val="none" w:color="auto"/>
                <w:shd w:val="clear" w:color="auto" w:fill="auto"/>
              </w:rPr>
              <w:t>.无正当理由大量反复申请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pPr>
              <w:widowControl/>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5</w:t>
            </w:r>
            <w:r>
              <w:rPr>
                <w:rFonts w:hint="eastAsia" w:ascii="宋体" w:hAnsi="宋体" w:eastAsia="宋体" w:cs="宋体"/>
                <w:color w:val="auto"/>
                <w:kern w:val="0"/>
                <w:sz w:val="20"/>
                <w:szCs w:val="20"/>
                <w:highlight w:val="none"/>
                <w:u w:val="none" w:color="auto"/>
                <w:shd w:val="clear" w:color="auto" w:fill="auto"/>
              </w:rPr>
              <w:t>.要求行政机关确认或重新出具已获取信息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1</w:t>
            </w:r>
            <w:r>
              <w:rPr>
                <w:rFonts w:hint="eastAsia" w:ascii="宋体" w:hAnsi="宋体" w:eastAsia="宋体" w:cs="宋体"/>
                <w:color w:val="auto"/>
                <w:kern w:val="0"/>
                <w:sz w:val="20"/>
                <w:szCs w:val="20"/>
                <w:highlight w:val="none"/>
                <w:u w:val="none" w:color="auto"/>
                <w:shd w:val="clear" w:color="auto" w:fill="auto"/>
              </w:rPr>
              <w:t>.申请人无正当理由逾期不补正、行政机关不再处理其政府信息公开申请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2</w:t>
            </w:r>
            <w:r>
              <w:rPr>
                <w:rFonts w:hint="eastAsia" w:ascii="宋体" w:hAnsi="宋体" w:eastAsia="宋体" w:cs="宋体"/>
                <w:color w:val="auto"/>
                <w:kern w:val="0"/>
                <w:sz w:val="20"/>
                <w:szCs w:val="20"/>
                <w:highlight w:val="none"/>
                <w:u w:val="none" w:color="auto"/>
                <w:shd w:val="clear" w:color="auto" w:fill="auto"/>
              </w:rPr>
              <w:t>.申请人逾期未按收费通知要求缴纳费用、行政机关不再处理其政府信息公开申请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default" w:ascii="Times New Roman" w:hAnsi="Times New Roman" w:eastAsia="宋体" w:cs="Times New Roman"/>
                <w:color w:val="auto"/>
                <w:kern w:val="0"/>
                <w:sz w:val="20"/>
                <w:szCs w:val="20"/>
                <w:highlight w:val="none"/>
                <w:u w:val="none" w:color="auto"/>
                <w:shd w:val="clear" w:color="auto" w:fill="auto"/>
              </w:rPr>
              <w:t>3</w:t>
            </w:r>
            <w:r>
              <w:rPr>
                <w:rFonts w:hint="eastAsia" w:ascii="宋体" w:hAnsi="宋体" w:eastAsia="宋体" w:cs="宋体"/>
                <w:color w:val="auto"/>
                <w:kern w:val="0"/>
                <w:sz w:val="20"/>
                <w:szCs w:val="20"/>
                <w:highlight w:val="none"/>
                <w:u w:val="none" w:color="auto"/>
                <w:shd w:val="clear" w:color="auto" w:fill="auto"/>
              </w:rPr>
              <w:t>.其他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jc w:val="left"/>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Calibri"/>
                <w:color w:val="auto"/>
                <w:kern w:val="0"/>
                <w:sz w:val="20"/>
                <w:szCs w:val="20"/>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rPr>
                <w:rFonts w:hint="default" w:ascii="宋体" w:hAnsi="Calibri" w:eastAsia="宋体" w:cs="Times New Roman"/>
                <w:color w:val="auto"/>
                <w:sz w:val="24"/>
                <w:szCs w:val="24"/>
                <w:highlight w:val="none"/>
                <w:u w:val="none" w:color="auto"/>
                <w:shd w:val="clear" w:color="auto" w:fill="auto"/>
                <w:lang w:val="en-US"/>
              </w:rPr>
            </w:pPr>
          </w:p>
        </w:tc>
      </w:tr>
    </w:tbl>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both"/>
        <w:textAlignment w:val="auto"/>
        <w:rPr>
          <w:rFonts w:hint="eastAsia" w:ascii="黑体" w:hAnsi="黑体" w:eastAsia="黑体" w:cs="黑体"/>
          <w:b w:val="0"/>
          <w:bCs w:val="0"/>
          <w:color w:val="auto"/>
          <w:kern w:val="0"/>
          <w:sz w:val="32"/>
          <w:szCs w:val="32"/>
          <w:highlight w:val="none"/>
          <w:u w:val="none" w:color="auto"/>
          <w:shd w:val="clear" w:color="auto" w:fill="auto"/>
          <w:lang w:val="en-US" w:eastAsia="zh-CN" w:bidi="ar-SA"/>
        </w:rPr>
      </w:pPr>
      <w:r>
        <w:rPr>
          <w:rFonts w:hint="eastAsia" w:ascii="黑体" w:hAnsi="黑体" w:eastAsia="黑体" w:cs="黑体"/>
          <w:b w:val="0"/>
          <w:bCs w:val="0"/>
          <w:color w:val="auto"/>
          <w:kern w:val="0"/>
          <w:sz w:val="32"/>
          <w:szCs w:val="32"/>
          <w:highlight w:val="none"/>
          <w:u w:val="none" w:color="auto"/>
          <w:shd w:val="clear" w:color="auto" w:fill="auto"/>
          <w:lang w:val="en-US" w:eastAsia="zh-CN" w:bidi="ar-SA"/>
        </w:rPr>
        <w:t>四、政府信息公开行政复议、行政诉讼情况</w:t>
      </w:r>
    </w:p>
    <w:tbl>
      <w:tblPr>
        <w:tblStyle w:val="4"/>
        <w:tblW w:w="9743"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行政复议</w:t>
            </w:r>
          </w:p>
        </w:tc>
        <w:tc>
          <w:tcPr>
            <w:tcW w:w="649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其他</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尚未</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宋体" w:hAnsi="Calibri" w:eastAsia="宋体" w:cs="Times New Roman"/>
                <w:color w:val="auto"/>
                <w:sz w:val="24"/>
                <w:szCs w:val="24"/>
                <w:highlight w:val="none"/>
                <w:u w:val="none" w:color="auto"/>
                <w:shd w:val="clear" w:color="auto" w:fill="auto"/>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其他</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尚未</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结果</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其他</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尚未</w:t>
            </w:r>
            <w:r>
              <w:rPr>
                <w:rFonts w:hint="eastAsia" w:ascii="宋体" w:hAnsi="宋体" w:eastAsia="宋体" w:cs="宋体"/>
                <w:color w:val="auto"/>
                <w:kern w:val="0"/>
                <w:sz w:val="20"/>
                <w:szCs w:val="20"/>
                <w:highlight w:val="none"/>
                <w:u w:val="none" w:color="auto"/>
                <w:shd w:val="clear" w:color="auto" w:fill="auto"/>
              </w:rPr>
              <w:br w:type="textWrapping"/>
            </w:r>
            <w:r>
              <w:rPr>
                <w:rFonts w:hint="eastAsia" w:ascii="宋体" w:hAnsi="宋体" w:eastAsia="宋体" w:cs="宋体"/>
                <w:color w:val="auto"/>
                <w:kern w:val="0"/>
                <w:sz w:val="20"/>
                <w:szCs w:val="20"/>
                <w:highlight w:val="none"/>
                <w:u w:val="none" w:color="auto"/>
                <w:shd w:val="clear" w:color="auto" w:fill="auto"/>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Calibri" w:hAnsi="Calibri" w:eastAsia="宋体" w:cs="Times New Roman"/>
                <w:color w:val="auto"/>
                <w:highlight w:val="none"/>
                <w:u w:val="none" w:color="auto"/>
                <w:shd w:val="clear" w:color="auto" w:fill="auto"/>
              </w:rPr>
            </w:pPr>
            <w:r>
              <w:rPr>
                <w:rFonts w:hint="eastAsia" w:ascii="宋体" w:hAnsi="宋体" w:eastAsia="宋体" w:cs="宋体"/>
                <w:color w:val="auto"/>
                <w:kern w:val="0"/>
                <w:sz w:val="20"/>
                <w:szCs w:val="20"/>
                <w:highlight w:val="none"/>
                <w:u w:val="none" w:color="auto"/>
                <w:shd w:val="clear" w:color="auto" w:fill="auto"/>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Calibri" w:hAnsi="Calibri" w:eastAsia="宋体" w:cs="Times New Roman"/>
                <w:color w:val="auto"/>
                <w:highlight w:val="none"/>
                <w:u w:val="none" w:color="auto"/>
                <w:shd w:val="clear" w:color="auto" w:fill="auto"/>
                <w:lang w:val="en-US" w:eastAsia="zh-CN"/>
              </w:rPr>
            </w:pPr>
            <w:r>
              <w:rPr>
                <w:rFonts w:hint="eastAsia" w:ascii="黑体" w:hAnsi="宋体" w:eastAsia="黑体" w:cs="黑体"/>
                <w:color w:val="auto"/>
                <w:kern w:val="0"/>
                <w:sz w:val="20"/>
                <w:szCs w:val="20"/>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eastAsia" w:ascii="Calibri" w:hAnsi="Calibri" w:eastAsia="宋体" w:cs="Times New Roman"/>
                <w:color w:val="auto"/>
                <w:highlight w:val="none"/>
                <w:u w:val="none" w:color="auto"/>
                <w:shd w:val="clear" w:color="auto" w:fill="auto"/>
                <w:lang w:val="en-US" w:eastAsia="zh-CN"/>
              </w:rPr>
            </w:pPr>
            <w:r>
              <w:rPr>
                <w:rFonts w:hint="eastAsia" w:ascii="Calibri" w:hAnsi="Calibri" w:eastAsia="宋体" w:cs="Times New Roman"/>
                <w:color w:val="auto"/>
                <w:highlight w:val="none"/>
                <w:u w:val="none" w:color="auto"/>
                <w:shd w:val="clear" w:color="auto" w:fill="auto"/>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hAnsi="Calibri" w:eastAsia="宋体" w:cs="Times New Roman"/>
                <w:color w:val="auto"/>
                <w:sz w:val="24"/>
                <w:szCs w:val="24"/>
                <w:highlight w:val="none"/>
                <w:u w:val="none" w:color="auto"/>
                <w:shd w:val="clear" w:color="auto" w:fill="auto"/>
                <w:lang w:val="en-US" w:eastAsia="zh-CN"/>
              </w:rPr>
            </w:pPr>
            <w:r>
              <w:rPr>
                <w:rFonts w:hint="eastAsia" w:ascii="宋体" w:hAnsi="Calibri" w:eastAsia="宋体" w:cs="Times New Roman"/>
                <w:color w:val="auto"/>
                <w:sz w:val="24"/>
                <w:szCs w:val="24"/>
                <w:highlight w:val="none"/>
                <w:u w:val="none" w:color="auto"/>
                <w:shd w:val="clear" w:color="auto" w:fill="auto"/>
                <w:lang w:val="en-US" w:eastAsia="zh-CN"/>
              </w:rPr>
              <w:t>0</w:t>
            </w:r>
          </w:p>
        </w:tc>
      </w:tr>
    </w:tbl>
    <w:p>
      <w:pPr>
        <w:widowControl/>
        <w:shd w:val="clear" w:color="auto" w:fill="FFFFFF"/>
        <w:spacing w:before="0" w:beforeAutospacing="0" w:after="0" w:afterAutospacing="0"/>
        <w:ind w:firstLine="420"/>
        <w:jc w:val="both"/>
        <w:rPr>
          <w:rFonts w:hint="eastAsia" w:ascii="黑体" w:hAnsi="黑体" w:eastAsia="黑体" w:cs="黑体"/>
          <w:b w:val="0"/>
          <w:bCs/>
          <w:color w:val="auto"/>
          <w:kern w:val="0"/>
          <w:sz w:val="32"/>
          <w:szCs w:val="32"/>
          <w:highlight w:val="none"/>
          <w:u w:val="none" w:color="auto"/>
          <w:shd w:val="clear" w:color="auto" w:fill="auto"/>
          <w:lang w:val="en-US" w:eastAsia="zh-CN" w:bidi="ar-SA"/>
        </w:rPr>
      </w:pPr>
    </w:p>
    <w:p>
      <w:pPr>
        <w:widowControl/>
        <w:shd w:val="clear" w:color="auto" w:fill="FFFFFF"/>
        <w:spacing w:before="0" w:beforeAutospacing="0" w:after="0" w:afterAutospacing="0"/>
        <w:ind w:firstLine="420"/>
        <w:jc w:val="both"/>
        <w:rPr>
          <w:rFonts w:hint="eastAsia" w:ascii="黑体" w:hAnsi="黑体" w:eastAsia="黑体" w:cs="黑体"/>
          <w:b w:val="0"/>
          <w:bCs/>
          <w:color w:val="auto"/>
          <w:kern w:val="0"/>
          <w:sz w:val="32"/>
          <w:szCs w:val="32"/>
          <w:highlight w:val="none"/>
          <w:u w:val="none" w:color="auto"/>
          <w:shd w:val="clear" w:color="auto" w:fill="auto"/>
          <w:lang w:val="en-US" w:eastAsia="zh-CN" w:bidi="ar-SA"/>
        </w:rPr>
      </w:pPr>
      <w:r>
        <w:rPr>
          <w:rFonts w:hint="eastAsia" w:ascii="黑体" w:hAnsi="黑体" w:eastAsia="黑体" w:cs="黑体"/>
          <w:b w:val="0"/>
          <w:bCs/>
          <w:color w:val="auto"/>
          <w:kern w:val="0"/>
          <w:sz w:val="32"/>
          <w:szCs w:val="32"/>
          <w:highlight w:val="none"/>
          <w:u w:val="none" w:color="auto"/>
          <w:shd w:val="clear" w:color="auto" w:fill="auto"/>
          <w:lang w:val="en-US" w:eastAsia="zh-CN" w:bidi="ar-SA"/>
        </w:rPr>
        <w:t>五、存在的主要问题及改进情况</w:t>
      </w:r>
    </w:p>
    <w:p>
      <w:pPr>
        <w:widowControl/>
        <w:shd w:val="clear" w:color="auto" w:fill="FFFFFF"/>
        <w:spacing w:before="0" w:beforeAutospacing="0" w:after="0" w:afterAutospacing="0"/>
        <w:ind w:firstLine="420"/>
        <w:jc w:val="left"/>
        <w:rPr>
          <w:rFonts w:hint="eastAsia" w:ascii="仿宋_GB2312" w:hAnsi="仿宋_GB2312" w:eastAsia="仿宋_GB2312" w:cs="仿宋_GB2312"/>
          <w:color w:val="auto"/>
          <w:kern w:val="0"/>
          <w:sz w:val="32"/>
          <w:szCs w:val="32"/>
          <w:highlight w:val="none"/>
          <w:u w:val="none" w:color="auto"/>
          <w:shd w:val="clear" w:color="auto" w:fill="auto"/>
          <w:lang w:val="en-US" w:eastAsia="zh-CN" w:bidi="ar-SA"/>
        </w:rPr>
      </w:pPr>
      <w:r>
        <w:rPr>
          <w:rFonts w:hint="eastAsia" w:ascii="仿宋_GB2312" w:hAnsi="仿宋_GB2312" w:eastAsia="仿宋_GB2312" w:cs="仿宋_GB2312"/>
          <w:b/>
          <w:bCs/>
          <w:color w:val="auto"/>
          <w:kern w:val="0"/>
          <w:sz w:val="32"/>
          <w:szCs w:val="32"/>
          <w:highlight w:val="none"/>
          <w:u w:val="none" w:color="auto"/>
          <w:shd w:val="clear" w:color="auto" w:fill="auto"/>
          <w:lang w:val="en-US" w:eastAsia="zh-CN" w:bidi="ar-SA"/>
        </w:rPr>
        <w:t>（一）存在问题。</w:t>
      </w:r>
      <w:r>
        <w:rPr>
          <w:rFonts w:hint="eastAsia" w:ascii="仿宋_GB2312" w:hAnsi="仿宋_GB2312" w:eastAsia="仿宋_GB2312" w:cs="仿宋_GB2312"/>
          <w:color w:val="auto"/>
          <w:kern w:val="0"/>
          <w:sz w:val="32"/>
          <w:szCs w:val="32"/>
          <w:highlight w:val="none"/>
          <w:u w:val="none" w:color="auto"/>
          <w:shd w:val="clear" w:color="auto" w:fill="auto"/>
          <w:lang w:val="en-US" w:eastAsia="zh-CN" w:bidi="ar-SA"/>
        </w:rPr>
        <w:t>2023年度，我中心政务公开工作在县政务公开办积极指导帮助下，信息公开工作取得了较大进展，但还存在以下问题：1.主动公开不够规范，信息公开规范化需提高。2.信息公开数量、时效性有待加强。</w:t>
      </w:r>
    </w:p>
    <w:p>
      <w:pPr>
        <w:widowControl/>
        <w:shd w:val="clear" w:color="auto" w:fill="FFFFFF"/>
        <w:spacing w:before="0" w:beforeAutospacing="0" w:after="0" w:afterAutospacing="0"/>
        <w:ind w:firstLine="420"/>
        <w:jc w:val="left"/>
        <w:rPr>
          <w:rFonts w:hint="eastAsia" w:ascii="仿宋_GB2312" w:hAnsi="仿宋_GB2312" w:eastAsia="仿宋_GB2312" w:cs="仿宋_GB2312"/>
          <w:color w:val="auto"/>
          <w:kern w:val="0"/>
          <w:sz w:val="32"/>
          <w:szCs w:val="32"/>
          <w:highlight w:val="none"/>
          <w:u w:val="none" w:color="auto"/>
          <w:shd w:val="clear" w:color="auto" w:fill="auto"/>
          <w:lang w:val="en-US" w:eastAsia="zh-CN" w:bidi="ar-SA"/>
        </w:rPr>
      </w:pPr>
      <w:r>
        <w:rPr>
          <w:rFonts w:hint="eastAsia" w:ascii="仿宋_GB2312" w:hAnsi="仿宋_GB2312" w:eastAsia="仿宋_GB2312" w:cs="仿宋_GB2312"/>
          <w:b/>
          <w:bCs/>
          <w:color w:val="auto"/>
          <w:kern w:val="0"/>
          <w:sz w:val="32"/>
          <w:szCs w:val="32"/>
          <w:highlight w:val="none"/>
          <w:u w:val="none" w:color="auto"/>
          <w:shd w:val="clear" w:color="auto" w:fill="auto"/>
          <w:lang w:val="en-US" w:eastAsia="zh-CN" w:bidi="ar-SA"/>
        </w:rPr>
        <w:t>（二）改进举措。</w:t>
      </w:r>
      <w:r>
        <w:rPr>
          <w:rFonts w:hint="eastAsia" w:ascii="仿宋_GB2312" w:hAnsi="仿宋_GB2312" w:eastAsia="仿宋_GB2312" w:cs="仿宋_GB2312"/>
          <w:color w:val="auto"/>
          <w:kern w:val="0"/>
          <w:sz w:val="32"/>
          <w:szCs w:val="32"/>
          <w:highlight w:val="none"/>
          <w:u w:val="none" w:color="auto"/>
          <w:shd w:val="clear" w:color="auto" w:fill="auto"/>
          <w:lang w:val="en-US" w:eastAsia="zh-CN" w:bidi="ar-SA"/>
        </w:rPr>
        <w:t>1.加强学习，加强对政府信息公开工作知识的学习和培训,提高政务信息工作人员的综合素质，不断提高政府信息公开工作的质量和水平。2.明确工作职责，以服务群众为目的，增加群众感兴趣的信息内容数量，提高信息公开的时效性。</w:t>
      </w:r>
      <w:bookmarkStart w:id="0" w:name="_GoBack"/>
      <w:bookmarkEnd w:id="0"/>
    </w:p>
    <w:p>
      <w:pPr>
        <w:widowControl/>
        <w:shd w:val="clear" w:color="auto" w:fill="FFFFFF"/>
        <w:spacing w:before="0" w:beforeAutospacing="0" w:after="0" w:afterAutospacing="0"/>
        <w:ind w:firstLine="420"/>
        <w:jc w:val="both"/>
        <w:rPr>
          <w:rFonts w:hint="eastAsia" w:ascii="黑体" w:hAnsi="黑体" w:eastAsia="黑体" w:cs="黑体"/>
          <w:b w:val="0"/>
          <w:bCs/>
          <w:color w:val="auto"/>
          <w:kern w:val="0"/>
          <w:sz w:val="32"/>
          <w:szCs w:val="32"/>
          <w:highlight w:val="none"/>
          <w:u w:val="none" w:color="auto"/>
          <w:shd w:val="clear" w:color="auto" w:fill="auto"/>
          <w:lang w:val="en-US" w:eastAsia="zh-CN" w:bidi="ar-SA"/>
        </w:rPr>
      </w:pPr>
      <w:r>
        <w:rPr>
          <w:rFonts w:hint="eastAsia" w:ascii="黑体" w:hAnsi="黑体" w:eastAsia="黑体" w:cs="黑体"/>
          <w:b w:val="0"/>
          <w:bCs/>
          <w:color w:val="auto"/>
          <w:kern w:val="0"/>
          <w:sz w:val="32"/>
          <w:szCs w:val="32"/>
          <w:highlight w:val="none"/>
          <w:u w:val="none" w:color="auto"/>
          <w:shd w:val="clear" w:color="auto" w:fill="auto"/>
          <w:lang w:val="en-US" w:eastAsia="zh-CN" w:bidi="ar-SA"/>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40"/>
        <w:jc w:val="both"/>
        <w:rPr>
          <w:rFonts w:hint="eastAsia" w:ascii="仿宋_GB2312" w:eastAsia="仿宋_GB2312" w:cs="仿宋_GB2312"/>
          <w:i w:val="0"/>
          <w:caps w:val="0"/>
          <w:color w:val="000000"/>
          <w:spacing w:val="0"/>
          <w:sz w:val="32"/>
          <w:szCs w:val="32"/>
          <w:shd w:val="clear" w:fill="FFFFFF"/>
        </w:rPr>
      </w:pPr>
      <w:r>
        <w:rPr>
          <w:rFonts w:ascii="仿宋_GB2312" w:hAnsi="宋体" w:eastAsia="仿宋_GB2312" w:cs="仿宋_GB2312"/>
          <w:i w:val="0"/>
          <w:caps w:val="0"/>
          <w:color w:val="000000"/>
          <w:spacing w:val="0"/>
          <w:kern w:val="0"/>
          <w:sz w:val="32"/>
          <w:szCs w:val="32"/>
          <w:shd w:val="clear" w:fill="FFFFFF"/>
          <w:lang w:val="en-US" w:eastAsia="zh-CN" w:bidi="ar-SA"/>
        </w:rPr>
        <w:t>按照《国务院办公厅关于印发〈政府信息公开信息处理费管理办法〉的通知》（国办函〔</w:t>
      </w:r>
      <w:r>
        <w:rPr>
          <w:rFonts w:hint="eastAsia" w:ascii="仿宋_GB2312" w:hAnsi="宋体" w:eastAsia="仿宋_GB2312" w:cs="仿宋_GB2312"/>
          <w:i w:val="0"/>
          <w:caps w:val="0"/>
          <w:color w:val="000000"/>
          <w:spacing w:val="0"/>
          <w:kern w:val="0"/>
          <w:sz w:val="32"/>
          <w:szCs w:val="32"/>
          <w:shd w:val="clear" w:fill="FFFFFF"/>
          <w:lang w:val="en-US" w:eastAsia="zh-CN" w:bidi="ar-SA"/>
        </w:rPr>
        <w:t>2020〕109号）规定的按件、按量收费标准，本年度没有产生信息公开处理费。</w:t>
      </w:r>
    </w:p>
    <w:p>
      <w:pPr>
        <w:jc w:val="center"/>
        <w:rPr>
          <w:rFonts w:hint="eastAsia" w:ascii="方正小标宋简体" w:hAnsi="方正小标宋简体" w:eastAsia="方正小标宋简体" w:cs="方正小标宋简体"/>
          <w:b/>
          <w:bCs/>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96020"/>
    <w:rsid w:val="0EF10575"/>
    <w:rsid w:val="3194089C"/>
    <w:rsid w:val="326E34ED"/>
    <w:rsid w:val="3F566A7F"/>
    <w:rsid w:val="404C1DA5"/>
    <w:rsid w:val="4CFC6E18"/>
    <w:rsid w:val="53442F24"/>
    <w:rsid w:val="56232AF9"/>
    <w:rsid w:val="65BB3B93"/>
    <w:rsid w:val="6C0830CF"/>
    <w:rsid w:val="76D12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1786</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2024-01-22T07:32:00Z</dcterms:created>
  <dc:creator>adimn</dc:creator>
  <cp:lastModifiedBy>gyb1</cp:lastModifiedBy>
  <cp:lastPrinted>2024-01-23T06:36:50Z</cp:lastPrinted>
  <dcterms:modified xsi:type="dcterms:W3CDTF">2024-01-25T08:50:15Z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