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方正小标宋简体" w:hAnsi="仿宋" w:eastAsia="方正小标宋简体"/>
          <w:sz w:val="44"/>
          <w:szCs w:val="44"/>
          <w:lang w:val="en-US" w:eastAsia="zh-CN"/>
        </w:rPr>
      </w:pPr>
      <w:bookmarkStart w:id="1" w:name="_GoBack"/>
      <w:r>
        <w:rPr>
          <w:rFonts w:hint="eastAsia" w:ascii="方正小标宋简体" w:hAnsi="仿宋" w:eastAsia="方正小标宋简体"/>
          <w:sz w:val="44"/>
          <w:szCs w:val="44"/>
          <w:lang w:val="en-US" w:eastAsia="zh-CN"/>
        </w:rPr>
        <w:t>金寨县卫生健康委员会2023</w:t>
      </w:r>
      <w:r>
        <w:rPr>
          <w:rFonts w:hint="default" w:ascii="方正小标宋简体" w:hAnsi="仿宋" w:eastAsia="方正小标宋简体"/>
          <w:sz w:val="44"/>
          <w:szCs w:val="44"/>
          <w:lang w:val="en-US" w:eastAsia="zh-CN"/>
        </w:rPr>
        <w:t>年政府</w:t>
      </w:r>
    </w:p>
    <w:p>
      <w:pPr>
        <w:spacing w:line="580" w:lineRule="exact"/>
        <w:jc w:val="center"/>
        <w:rPr>
          <w:rFonts w:hint="default" w:ascii="方正小标宋简体" w:hAnsi="仿宋" w:eastAsia="方正小标宋简体"/>
          <w:sz w:val="44"/>
          <w:szCs w:val="44"/>
          <w:lang w:val="en-US" w:eastAsia="zh-CN"/>
        </w:rPr>
      </w:pPr>
      <w:r>
        <w:rPr>
          <w:rFonts w:hint="default" w:ascii="方正小标宋简体" w:hAnsi="仿宋" w:eastAsia="方正小标宋简体"/>
          <w:sz w:val="44"/>
          <w:szCs w:val="44"/>
          <w:lang w:val="en-US" w:eastAsia="zh-CN"/>
        </w:rPr>
        <w:t>信息公开工作年度报告</w:t>
      </w:r>
    </w:p>
    <w:bookmarkEnd w:id="1"/>
    <w:p>
      <w:pPr>
        <w:spacing w:line="580" w:lineRule="exact"/>
        <w:jc w:val="center"/>
        <w:rPr>
          <w:rFonts w:hint="eastAsia" w:ascii="方正小标宋简体" w:hAnsi="仿宋" w:eastAsia="方正小标宋简体"/>
          <w:sz w:val="20"/>
          <w:szCs w:val="20"/>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仿宋_GB2312" w:hAnsi="仿宋_GB2312" w:eastAsia="仿宋_GB2312" w:cs="仿宋_GB2312"/>
          <w:i w:val="0"/>
          <w:iCs w:val="0"/>
          <w:caps w:val="0"/>
          <w:color w:val="000000"/>
          <w:spacing w:val="0"/>
          <w:kern w:val="2"/>
          <w:sz w:val="32"/>
          <w:szCs w:val="32"/>
          <w:lang w:val="en-US" w:eastAsia="zh-CN" w:bidi="ar-SA"/>
        </w:rPr>
        <w:t>本报告依据</w:t>
      </w:r>
      <w:r>
        <w:rPr>
          <w:rFonts w:hint="default" w:ascii="仿宋_GB2312" w:hAnsi="仿宋_GB2312" w:eastAsia="仿宋_GB2312" w:cs="仿宋_GB2312"/>
          <w:i w:val="0"/>
          <w:iCs w:val="0"/>
          <w:caps w:val="0"/>
          <w:color w:val="000000"/>
          <w:spacing w:val="0"/>
          <w:kern w:val="2"/>
          <w:sz w:val="32"/>
          <w:szCs w:val="32"/>
          <w:lang w:val="en-US" w:eastAsia="zh-CN" w:bidi="ar-SA"/>
        </w:rPr>
        <w:t>《关于做好2023年度政府信息公开</w:t>
      </w:r>
      <w:r>
        <w:rPr>
          <w:rFonts w:hint="eastAsia" w:ascii="仿宋_GB2312" w:hAnsi="仿宋_GB2312" w:eastAsia="仿宋_GB2312" w:cs="仿宋_GB2312"/>
          <w:i w:val="0"/>
          <w:iCs w:val="0"/>
          <w:caps w:val="0"/>
          <w:color w:val="000000"/>
          <w:spacing w:val="0"/>
          <w:kern w:val="2"/>
          <w:sz w:val="32"/>
          <w:szCs w:val="32"/>
          <w:lang w:val="en-US" w:eastAsia="zh-CN" w:bidi="ar-SA"/>
        </w:rPr>
        <w:t>工作</w:t>
      </w:r>
      <w:r>
        <w:rPr>
          <w:rFonts w:hint="default" w:ascii="仿宋_GB2312" w:hAnsi="仿宋_GB2312" w:eastAsia="仿宋_GB2312" w:cs="仿宋_GB2312"/>
          <w:i w:val="0"/>
          <w:iCs w:val="0"/>
          <w:caps w:val="0"/>
          <w:color w:val="000000"/>
          <w:spacing w:val="0"/>
          <w:kern w:val="2"/>
          <w:sz w:val="32"/>
          <w:szCs w:val="32"/>
          <w:lang w:val="en-US" w:eastAsia="zh-CN" w:bidi="ar-SA"/>
        </w:rPr>
        <w:t>年度报告编制和发布的通知》（</w:t>
      </w:r>
      <w:bookmarkStart w:id="0" w:name="文号"/>
      <w:r>
        <w:rPr>
          <w:rFonts w:hint="eastAsia" w:ascii="仿宋_GB2312" w:hAnsi="仿宋_GB2312" w:eastAsia="仿宋_GB2312" w:cs="仿宋_GB2312"/>
          <w:i w:val="0"/>
          <w:iCs w:val="0"/>
          <w:caps w:val="0"/>
          <w:color w:val="000000"/>
          <w:spacing w:val="0"/>
          <w:kern w:val="2"/>
          <w:sz w:val="32"/>
          <w:szCs w:val="32"/>
          <w:lang w:val="en-US" w:eastAsia="zh-CN" w:bidi="ar-SA"/>
        </w:rPr>
        <w:t>金政公开〔2024〕1号</w:t>
      </w:r>
      <w:bookmarkEnd w:id="0"/>
      <w:r>
        <w:rPr>
          <w:rFonts w:hint="eastAsia" w:ascii="仿宋_GB2312" w:hAnsi="仿宋_GB2312" w:eastAsia="仿宋_GB2312" w:cs="仿宋_GB2312"/>
          <w:i w:val="0"/>
          <w:iCs w:val="0"/>
          <w:caps w:val="0"/>
          <w:color w:val="000000"/>
          <w:spacing w:val="0"/>
          <w:kern w:val="2"/>
          <w:sz w:val="32"/>
          <w:szCs w:val="32"/>
          <w:lang w:val="en-US" w:eastAsia="zh-CN" w:bidi="ar-SA"/>
        </w:rPr>
        <w:t>）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2023年1月1日至12月31日，电子版可在本部门信息公开网（https://www.ahjinzhai.gov.cn/public/column/6596471?type=4&amp;action=list&amp;nav=3&amp;catId=7058401）下载。如对本报告有任何疑问，请与金寨县卫健委办公室联系（地址：金寨县悬剑山路332号金寨县卫健委2楼办公室，电话：0564--7356822，邮编：237300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hAnsi="仿宋_GB2312" w:eastAsia="仿宋_GB2312" w:cs="仿宋_GB2312"/>
          <w:i w:val="0"/>
          <w:iCs w:val="0"/>
          <w:caps w:val="0"/>
          <w:color w:val="000000"/>
          <w:spacing w:val="0"/>
          <w:kern w:val="2"/>
          <w:sz w:val="32"/>
          <w:szCs w:val="32"/>
          <w:lang w:val="en-US" w:eastAsia="zh-CN" w:bidi="ar-SA"/>
        </w:rPr>
      </w:pPr>
      <w:r>
        <w:rPr>
          <w:rFonts w:hint="default" w:ascii="仿宋_GB2312" w:hAnsi="仿宋_GB2312" w:eastAsia="仿宋_GB2312" w:cs="仿宋_GB2312"/>
          <w:i w:val="0"/>
          <w:iCs w:val="0"/>
          <w:caps w:val="0"/>
          <w:color w:val="000000"/>
          <w:spacing w:val="0"/>
          <w:kern w:val="2"/>
          <w:sz w:val="32"/>
          <w:szCs w:val="32"/>
          <w:lang w:val="en-US" w:eastAsia="zh-CN" w:bidi="ar-SA"/>
        </w:rPr>
        <w:t>2023年金寨县卫健委严格按照省、市、县政府办及上级主管单位要求，贯彻落实政务公开工作任务</w:t>
      </w:r>
      <w:r>
        <w:rPr>
          <w:rFonts w:hint="eastAsia" w:ascii="仿宋_GB2312" w:hAnsi="仿宋_GB2312" w:eastAsia="仿宋_GB2312" w:cs="仿宋_GB2312"/>
          <w:i w:val="0"/>
          <w:iCs w:val="0"/>
          <w:caps w:val="0"/>
          <w:color w:val="000000"/>
          <w:spacing w:val="0"/>
          <w:kern w:val="2"/>
          <w:sz w:val="32"/>
          <w:szCs w:val="32"/>
          <w:lang w:val="en-US" w:eastAsia="zh-CN" w:bidi="ar-SA"/>
        </w:rPr>
        <w:t>，全年主动公开信息</w:t>
      </w:r>
      <w:r>
        <w:rPr>
          <w:rFonts w:hint="default" w:ascii="仿宋_GB2312" w:hAnsi="仿宋_GB2312" w:eastAsia="仿宋_GB2312" w:cs="仿宋_GB2312"/>
          <w:i w:val="0"/>
          <w:iCs w:val="0"/>
          <w:caps w:val="0"/>
          <w:color w:val="000000"/>
          <w:spacing w:val="0"/>
          <w:kern w:val="2"/>
          <w:sz w:val="32"/>
          <w:szCs w:val="32"/>
          <w:lang w:val="en-US" w:eastAsia="zh-CN" w:bidi="ar-SA"/>
        </w:rPr>
        <w:t>795件。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楷体" w:hAnsi="楷体" w:eastAsia="楷体" w:cs="楷体"/>
          <w:b/>
          <w:bCs/>
          <w:color w:val="auto"/>
          <w:sz w:val="32"/>
          <w:szCs w:val="32"/>
          <w:lang w:val="en-US" w:eastAsia="zh-CN" w:bidi="ar-SA"/>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kern w:val="2"/>
          <w:sz w:val="32"/>
          <w:szCs w:val="32"/>
          <w:lang w:val="en-US" w:eastAsia="zh-CN" w:bidi="ar-SA"/>
        </w:rPr>
        <w:t>一是做好基础信息公开。</w:t>
      </w:r>
      <w:r>
        <w:rPr>
          <w:rFonts w:hint="eastAsia" w:ascii="仿宋_GB2312" w:hAnsi="仿宋_GB2312" w:eastAsia="仿宋_GB2312" w:cs="仿宋_GB2312"/>
          <w:i w:val="0"/>
          <w:iCs w:val="0"/>
          <w:caps w:val="0"/>
          <w:color w:val="000000"/>
          <w:spacing w:val="0"/>
          <w:kern w:val="2"/>
          <w:sz w:val="32"/>
          <w:szCs w:val="32"/>
          <w:lang w:val="en-US" w:eastAsia="zh-CN" w:bidi="ar-SA"/>
        </w:rPr>
        <w:t>围绕健康科普、疾病预防等相关社会关注热点问题积极主动回应关切55件。按照财政部门统一部署，完成2022年单位决算和2023年单位预算公开73件。将疫苗监管、卫生监督、疾病应急救助、国家免疫规划等重点领域信息逐项公开，发布信息146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default" w:ascii="仿宋_GB2312" w:hAnsi="仿宋_GB2312" w:eastAsia="仿宋_GB2312" w:cs="仿宋_GB2312"/>
          <w:i w:val="0"/>
          <w:iCs w:val="0"/>
          <w:caps w:val="0"/>
          <w:color w:val="000000"/>
          <w:spacing w:val="0"/>
          <w:kern w:val="2"/>
          <w:sz w:val="32"/>
          <w:szCs w:val="32"/>
          <w:lang w:val="en-US" w:eastAsia="zh-CN" w:bidi="ar-SA"/>
        </w:rPr>
      </w:pPr>
      <w:r>
        <w:rPr>
          <w:rFonts w:hint="eastAsia" w:ascii="仿宋_GB2312" w:hAnsi="仿宋_GB2312" w:eastAsia="仿宋_GB2312" w:cs="仿宋_GB2312"/>
          <w:b/>
          <w:bCs/>
          <w:i w:val="0"/>
          <w:iCs w:val="0"/>
          <w:caps w:val="0"/>
          <w:color w:val="000000"/>
          <w:spacing w:val="0"/>
          <w:kern w:val="2"/>
          <w:sz w:val="32"/>
          <w:szCs w:val="32"/>
          <w:lang w:val="en-US" w:eastAsia="zh-CN" w:bidi="ar-SA"/>
        </w:rPr>
        <w:t>二是加强医疗卫生领域“标准化、规范化”建设。</w:t>
      </w:r>
      <w:r>
        <w:rPr>
          <w:rFonts w:hint="eastAsia" w:ascii="仿宋_GB2312" w:hAnsi="仿宋_GB2312" w:eastAsia="仿宋_GB2312" w:cs="仿宋_GB2312"/>
          <w:i w:val="0"/>
          <w:iCs w:val="0"/>
          <w:caps w:val="0"/>
          <w:color w:val="000000"/>
          <w:spacing w:val="0"/>
          <w:kern w:val="2"/>
          <w:sz w:val="32"/>
          <w:szCs w:val="32"/>
          <w:lang w:val="en-US" w:eastAsia="zh-CN" w:bidi="ar-SA"/>
        </w:rPr>
        <w:t>依照省卫健委印发的目录清单，梳理办事指南80余件，按季度发布办事结果等信息100余件，有效保障群众知情权、参与权和监督权。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_GB2312" w:hAnsi="仿宋_GB2312" w:eastAsia="仿宋_GB2312" w:cs="仿宋_GB2312"/>
          <w:b/>
          <w:bCs/>
          <w:i w:val="0"/>
          <w:iCs w:val="0"/>
          <w:caps w:val="0"/>
          <w:color w:val="000000"/>
          <w:spacing w:val="0"/>
          <w:kern w:val="2"/>
          <w:sz w:val="32"/>
          <w:szCs w:val="32"/>
          <w:lang w:val="en-US" w:eastAsia="zh-CN" w:bidi="ar-SA"/>
        </w:rPr>
        <w:t>三是积极推动公共企事业单位信息公开。</w:t>
      </w:r>
      <w:r>
        <w:rPr>
          <w:rFonts w:hint="eastAsia" w:ascii="仿宋_GB2312" w:hAnsi="仿宋_GB2312" w:eastAsia="仿宋_GB2312" w:cs="仿宋_GB2312"/>
          <w:i w:val="0"/>
          <w:iCs w:val="0"/>
          <w:caps w:val="0"/>
          <w:color w:val="000000"/>
          <w:spacing w:val="0"/>
          <w:kern w:val="2"/>
          <w:sz w:val="32"/>
          <w:szCs w:val="32"/>
          <w:lang w:val="en-US" w:eastAsia="zh-CN" w:bidi="ar-SA"/>
        </w:rPr>
        <w:t>牵头组织28家医疗卫生机构，按栏目要求更新上传信息，定期开展针对医疗卫生企事业单位信息公开监测，加强对医疗卫生企事业单位信息公开的指导，建立健全卫生系统政务公开体系。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（二）依申请公开情况。</w:t>
      </w:r>
      <w:r>
        <w:rPr>
          <w:rFonts w:hint="eastAsia" w:ascii="仿宋_GB2312" w:hAnsi="仿宋_GB2312" w:eastAsia="仿宋_GB2312" w:cs="仿宋_GB2312"/>
          <w:i w:val="0"/>
          <w:iCs w:val="0"/>
          <w:caps w:val="0"/>
          <w:color w:val="000000"/>
          <w:spacing w:val="0"/>
          <w:kern w:val="2"/>
          <w:sz w:val="32"/>
          <w:szCs w:val="32"/>
          <w:lang w:val="en-US" w:eastAsia="zh-CN" w:bidi="ar-SA"/>
        </w:rPr>
        <w:t>严格按照依申请公开制度，畅通线上线下依申请公开受理渠道，规范办理流程，公开办理结果。2023年度我单位线上线下未收到依申请公开事项，无行政复议和行政诉讼发生。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（三）政府信息管理情况。</w:t>
      </w:r>
      <w:r>
        <w:rPr>
          <w:rFonts w:hint="eastAsia" w:ascii="仿宋_GB2312" w:hAnsi="仿宋_GB2312" w:eastAsia="仿宋_GB2312" w:cs="仿宋_GB2312"/>
          <w:i w:val="0"/>
          <w:iCs w:val="0"/>
          <w:caps w:val="0"/>
          <w:color w:val="000000"/>
          <w:spacing w:val="0"/>
          <w:kern w:val="2"/>
          <w:sz w:val="32"/>
          <w:szCs w:val="32"/>
          <w:lang w:val="en-US" w:eastAsia="zh-CN" w:bidi="ar-SA"/>
        </w:rPr>
        <w:t>建立完善《信息公开保密审查制度》《信息公开制度》等多项工作制度，对照规范性文件发布标准，调整代政府起草规范性文件格式8件，落实信息审核制度，定期清理监测反馈的失效、错链等信息，保障信息公开内容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（四）政府信息公开平台建设情况。</w:t>
      </w:r>
      <w:r>
        <w:rPr>
          <w:rFonts w:hint="eastAsia" w:ascii="仿宋_GB2312" w:hAnsi="仿宋_GB2312" w:eastAsia="仿宋_GB2312" w:cs="仿宋_GB2312"/>
          <w:i w:val="0"/>
          <w:iCs w:val="0"/>
          <w:caps w:val="0"/>
          <w:color w:val="000000"/>
          <w:spacing w:val="0"/>
          <w:kern w:val="2"/>
          <w:sz w:val="32"/>
          <w:szCs w:val="32"/>
          <w:lang w:val="en-US" w:eastAsia="zh-CN" w:bidi="ar-SA"/>
        </w:rPr>
        <w:t>在县政府办指导下，结合年度重点工作，不断优化栏目设置，对医疗卫生领域企事业单位信息公开栏目进行调整完善。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（五）监督保障情况。</w:t>
      </w:r>
      <w:r>
        <w:rPr>
          <w:rFonts w:hint="eastAsia" w:ascii="仿宋_GB2312" w:hAnsi="仿宋_GB2312" w:eastAsia="仿宋_GB2312" w:cs="仿宋_GB2312"/>
          <w:i w:val="0"/>
          <w:iCs w:val="0"/>
          <w:caps w:val="0"/>
          <w:color w:val="000000"/>
          <w:spacing w:val="0"/>
          <w:kern w:val="2"/>
          <w:sz w:val="32"/>
          <w:szCs w:val="32"/>
          <w:lang w:val="en-US" w:eastAsia="zh-CN" w:bidi="ar-SA"/>
        </w:rPr>
        <w:t>安排专人负责经办政务公开工作，开展政府信息公开平台业务学习，提升经办人政务公开业务能力。每季度根据县政府办监测、市卫健委评估等反馈情况，积极落实整改，并公开整改报告，保障信息公开的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w:t>
            </w:r>
            <w:r>
              <w:rPr>
                <w:rFonts w:hint="eastAsia" w:ascii="宋体" w:hAnsi="宋体" w:eastAsia="宋体" w:cs="宋体"/>
                <w:sz w:val="20"/>
                <w:szCs w:val="20"/>
              </w:rPr>
              <w:t>制发件数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本年废止件数</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现行有效件</w:t>
            </w:r>
            <w:r>
              <w:rPr>
                <w:rFonts w:hint="eastAsia" w:ascii="宋体" w:hAnsi="宋体" w:eastAsia="宋体" w:cs="宋体"/>
                <w:sz w:val="20"/>
                <w:szCs w:val="20"/>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Calibri" w:hAnsi="Calibri" w:eastAsia="宋体" w:cs="Calibri"/>
                <w:sz w:val="21"/>
                <w:szCs w:val="21"/>
                <w:lang w:val="en-US" w:eastAsia="zh-CN"/>
              </w:rPr>
            </w:pPr>
            <w:r>
              <w:rPr>
                <w:rFonts w:hint="eastAsia" w:cs="Calibri"/>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cs="Calibri"/>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Calibri" w:hAnsi="Calibri" w:eastAsia="宋体" w:cs="Calibri"/>
                <w:sz w:val="21"/>
                <w:szCs w:val="21"/>
                <w:lang w:eastAsia="zh-CN"/>
              </w:rPr>
            </w:pPr>
            <w:r>
              <w:rPr>
                <w:rFonts w:hint="eastAsia" w:cs="Calibri"/>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cs="Calibri"/>
                <w:sz w:val="21"/>
                <w:szCs w:val="21"/>
                <w:lang w:val="en-US" w:eastAsia="zh-CN"/>
              </w:rPr>
            </w:pPr>
            <w:r>
              <w:rPr>
                <w:rFonts w:hint="eastAsia" w:cs="Calibri"/>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cs="Calibri"/>
                <w:sz w:val="21"/>
                <w:szCs w:val="21"/>
                <w:lang w:val="en-US" w:eastAsia="zh-CN"/>
              </w:rPr>
            </w:pPr>
            <w:r>
              <w:rPr>
                <w:rFonts w:hint="eastAsia" w:cs="Calibri"/>
                <w:sz w:val="21"/>
                <w:szCs w:val="21"/>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Calibri" w:hAnsi="Calibri" w:eastAsia="宋体" w:cs="Calibri"/>
                <w:sz w:val="21"/>
                <w:szCs w:val="21"/>
                <w:lang w:eastAsia="zh-CN"/>
              </w:rPr>
            </w:pPr>
            <w:r>
              <w:rPr>
                <w:rFonts w:hint="eastAsia" w:cs="Calibri"/>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cs="Calibri"/>
                <w:sz w:val="21"/>
                <w:szCs w:val="21"/>
                <w:lang w:val="en-US" w:eastAsia="zh-CN"/>
              </w:rPr>
              <w:t>887件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cs="Calibri"/>
                <w:sz w:val="21"/>
                <w:szCs w:val="21"/>
                <w:lang w:val="en-US" w:eastAsia="zh-CN"/>
              </w:rPr>
              <w:t>47件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cs="Calibri"/>
                <w:sz w:val="21"/>
                <w:szCs w:val="21"/>
                <w:lang w:val="en-US" w:eastAsia="zh-CN"/>
              </w:rPr>
              <w:t>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color w:val="000000"/>
                <w:sz w:val="20"/>
                <w:szCs w:val="20"/>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eastAsia" w:ascii="Calibri" w:hAnsi="Calibri" w:eastAsia="宋体" w:cs="Calibri"/>
                <w:sz w:val="21"/>
                <w:szCs w:val="21"/>
                <w:lang w:eastAsia="zh-CN"/>
              </w:rPr>
            </w:pPr>
            <w:r>
              <w:rPr>
                <w:rFonts w:hint="eastAsia" w:cs="Calibri"/>
                <w:sz w:val="21"/>
                <w:szCs w:val="21"/>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三、收到和处理政府信息公开申请情况</w:t>
      </w: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ascii="楷体" w:hAnsi="楷体" w:eastAsia="楷体" w:cs="楷体"/>
                <w:sz w:val="20"/>
                <w:szCs w:val="20"/>
              </w:rPr>
              <w:t>（本列数据的勾稽关系为：第一项加第二项之和，等于第三项加第四项之和）</w:t>
            </w:r>
          </w:p>
        </w:tc>
        <w:tc>
          <w:tcPr>
            <w:tcW w:w="4829"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7" w:type="dxa"/>
            <w:vMerge w:val="restart"/>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自然人</w:t>
            </w:r>
          </w:p>
        </w:tc>
        <w:tc>
          <w:tcPr>
            <w:tcW w:w="3435" w:type="dxa"/>
            <w:gridSpan w:val="5"/>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法人或其他组织</w:t>
            </w:r>
          </w:p>
        </w:tc>
        <w:tc>
          <w:tcPr>
            <w:tcW w:w="697" w:type="dxa"/>
            <w:vMerge w:val="restart"/>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7"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8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企业</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机构</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社会公益组织</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法律服务机构</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w:t>
            </w:r>
          </w:p>
        </w:tc>
        <w:tc>
          <w:tcPr>
            <w:tcW w:w="697"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一、本年新收政府信息公开申请数量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二、上年结转政府信息公开申请数量</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三、本年度办理结果</w:t>
            </w:r>
          </w:p>
        </w:tc>
        <w:tc>
          <w:tcPr>
            <w:tcW w:w="4152"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21"/>
                <w:szCs w:val="21"/>
                <w:lang w:val="en-US" w:eastAsia="zh-CN"/>
              </w:rPr>
            </w:pPr>
            <w:r>
              <w:rPr>
                <w:rFonts w:hint="eastAsia" w:cs="Calibri"/>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52" w:type="dxa"/>
            <w:gridSpan w:val="2"/>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（三）不予公开</w:t>
            </w: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1.属于国家秘密</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2.其他法律行政法规禁止公开</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3.危及“三安全一稳定”</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4.保护第三方合法权益</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5.属于三类内部事务信息</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6.属于四类过程性信息</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7.属于行政执法案卷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8.属于行政查询事项</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（四）无法提供</w:t>
            </w: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1.本机关不掌握相关政府信息</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2.没有现成信息需要另行制作</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3.补正后申请内容仍不明确</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（五）不予处理</w:t>
            </w: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1.信访举报投诉类申请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2.重复申请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3.要求提供公开出版物</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4.无正当理由大量反复申请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5.要求行政机关确认或重新出具已获取信息</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restart"/>
            <w:tcBorders>
              <w:top w:val="nil"/>
              <w:left w:val="nil"/>
              <w:bottom w:val="outset"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（六）其他处理</w:t>
            </w:r>
          </w:p>
        </w:tc>
        <w:tc>
          <w:tcPr>
            <w:tcW w:w="3210"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1.申请人无正当理由逾期不补正、行政机关不再处理其政府信息公开申请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Calibri" w:hAnsi="Calibri" w:cs="Calibri"/>
                <w:sz w:val="21"/>
                <w:szCs w:val="21"/>
              </w:rPr>
            </w:pPr>
            <w:r>
              <w:rPr>
                <w:rFonts w:hint="eastAsia" w:ascii="宋体" w:hAnsi="宋体" w:eastAsia="宋体" w:cs="宋体"/>
                <w:sz w:val="20"/>
                <w:szCs w:val="20"/>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42"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10" w:type="dxa"/>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3.其他</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152" w:type="dxa"/>
            <w:gridSpan w:val="2"/>
            <w:tcBorders>
              <w:top w:val="nil"/>
              <w:left w:val="nil"/>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（七）总计</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cs="宋体"/>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491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Calibri" w:hAnsi="Calibri" w:cs="Calibri"/>
                <w:sz w:val="21"/>
                <w:szCs w:val="21"/>
              </w:rPr>
            </w:pPr>
            <w:r>
              <w:rPr>
                <w:rFonts w:hint="eastAsia" w:ascii="宋体" w:hAnsi="宋体" w:eastAsia="宋体" w:cs="宋体"/>
                <w:sz w:val="20"/>
                <w:szCs w:val="20"/>
              </w:rPr>
              <w:t>四、结转下年度继续办理</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8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97"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center"/>
              <w:rPr>
                <w:rFonts w:hint="default" w:ascii="Calibri" w:hAnsi="Calibri" w:cs="Calibri"/>
                <w:sz w:val="21"/>
                <w:szCs w:val="21"/>
              </w:rPr>
            </w:pPr>
            <w:r>
              <w:rPr>
                <w:rFonts w:hint="eastAsia" w:ascii="宋体" w:hAnsi="宋体" w:eastAsia="宋体" w:cs="宋体"/>
                <w:sz w:val="20"/>
                <w:szCs w:val="20"/>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宋体" w:hAnsi="宋体" w:eastAsia="宋体" w:cs="宋体"/>
          <w:i w:val="0"/>
          <w:iCs w:val="0"/>
          <w:caps w:val="0"/>
          <w:color w:val="333333"/>
          <w:spacing w:val="0"/>
          <w:sz w:val="24"/>
          <w:szCs w:val="24"/>
        </w:rPr>
      </w:pPr>
      <w:r>
        <w:rPr>
          <w:rFonts w:hint="eastAsia" w:ascii="黑体" w:hAnsi="黑体" w:eastAsia="黑体" w:cs="黑体"/>
          <w:kern w:val="2"/>
          <w:sz w:val="32"/>
          <w:szCs w:val="32"/>
          <w:lang w:val="en-US" w:eastAsia="zh-CN" w:bidi="ar-SA"/>
        </w:rPr>
        <w:t>四、政府信息公开行政复议、行政诉讼情况</w:t>
      </w:r>
    </w:p>
    <w:tbl>
      <w:tblPr>
        <w:tblStyle w:val="3"/>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行政复议</w:t>
            </w:r>
          </w:p>
        </w:tc>
        <w:tc>
          <w:tcPr>
            <w:tcW w:w="6498"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结果维持</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0" w:type="dxa"/>
            <w:vMerge w:val="restart"/>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总计</w:t>
            </w:r>
          </w:p>
        </w:tc>
        <w:tc>
          <w:tcPr>
            <w:tcW w:w="3248" w:type="dxa"/>
            <w:gridSpan w:val="5"/>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未经复议直接起诉</w:t>
            </w:r>
          </w:p>
        </w:tc>
        <w:tc>
          <w:tcPr>
            <w:tcW w:w="3250" w:type="dxa"/>
            <w:gridSpan w:val="5"/>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其他</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结果</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color w:val="00000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Calibri" w:hAnsi="Calibri" w:eastAsia="宋体" w:cs="Calibri"/>
                <w:sz w:val="21"/>
                <w:szCs w:val="21"/>
                <w:lang w:eastAsia="zh-CN"/>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49"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c>
          <w:tcPr>
            <w:tcW w:w="6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sz w:val="20"/>
                <w:szCs w:val="20"/>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楷体_GB2312" w:hAnsi="Calibri" w:eastAsia="楷体_GB2312" w:cs="楷体_GB2312"/>
          <w:b/>
          <w:bCs/>
          <w:i w:val="0"/>
          <w:iCs w:val="0"/>
          <w:caps w:val="0"/>
          <w:color w:val="000000"/>
          <w:spacing w:val="0"/>
          <w:sz w:val="32"/>
          <w:szCs w:val="32"/>
          <w:shd w:val="clear" w:color="auto" w:fill="FFFFFF"/>
          <w:lang w:val="en-US" w:eastAsia="zh-CN"/>
        </w:rPr>
        <w:t>（一）上年问题改进情况。</w:t>
      </w:r>
      <w:r>
        <w:rPr>
          <w:rFonts w:hint="eastAsia" w:ascii="仿宋_GB2312" w:hAnsi="仿宋_GB2312" w:eastAsia="仿宋_GB2312" w:cs="仿宋_GB2312"/>
          <w:i w:val="0"/>
          <w:iCs w:val="0"/>
          <w:caps w:val="0"/>
          <w:color w:val="000000"/>
          <w:spacing w:val="0"/>
          <w:kern w:val="2"/>
          <w:sz w:val="32"/>
          <w:szCs w:val="32"/>
          <w:lang w:val="en-US" w:eastAsia="zh-CN" w:bidi="ar-SA"/>
        </w:rPr>
        <w:t>2022年我单位存在问题已完成整改，部门之间沟通效率提升，政策解读方面利用视频、漫画等多种解读方式丰富了政策解读形式，以多元化形式全方位展示政策内容，让群众看的懂，用的上。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ascii="楷体_GB2312" w:hAnsi="Calibri" w:eastAsia="楷体_GB2312" w:cs="楷体_GB2312"/>
          <w:b/>
          <w:bCs/>
          <w:i w:val="0"/>
          <w:iCs w:val="0"/>
          <w:caps w:val="0"/>
          <w:color w:val="000000"/>
          <w:spacing w:val="0"/>
          <w:sz w:val="32"/>
          <w:szCs w:val="32"/>
          <w:shd w:val="clear" w:color="auto" w:fill="FFFFFF"/>
        </w:rPr>
        <w:t>（二）本年存在问题。</w:t>
      </w:r>
      <w:r>
        <w:rPr>
          <w:rFonts w:hint="eastAsia" w:ascii="仿宋_GB2312" w:hAnsi="仿宋_GB2312" w:eastAsia="仿宋_GB2312" w:cs="仿宋_GB2312"/>
          <w:i w:val="0"/>
          <w:iCs w:val="0"/>
          <w:caps w:val="0"/>
          <w:color w:val="000000"/>
          <w:spacing w:val="0"/>
          <w:kern w:val="2"/>
          <w:sz w:val="32"/>
          <w:szCs w:val="32"/>
          <w:lang w:val="en-US" w:eastAsia="zh-CN" w:bidi="ar-SA"/>
        </w:rPr>
        <w:t>2023年我单位政务公开工作尚有不足，由于职能科室起草说明时对要素要求了解不充分，部分意见征集公告中起草说明存在缺项信息，意见征集流程不完善。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ascii="楷体_GB2312" w:hAnsi="Calibri" w:eastAsia="楷体_GB2312" w:cs="楷体_GB2312"/>
          <w:b/>
          <w:bCs/>
          <w:i w:val="0"/>
          <w:iCs w:val="0"/>
          <w:caps w:val="0"/>
          <w:color w:val="000000"/>
          <w:spacing w:val="0"/>
          <w:sz w:val="32"/>
          <w:szCs w:val="32"/>
          <w:shd w:val="clear" w:color="auto" w:fill="FFFFFF"/>
        </w:rPr>
        <w:t>（</w:t>
      </w:r>
      <w:r>
        <w:rPr>
          <w:rFonts w:hint="eastAsia" w:ascii="楷体_GB2312" w:hAnsi="Calibri" w:eastAsia="楷体_GB2312" w:cs="楷体_GB2312"/>
          <w:b/>
          <w:bCs/>
          <w:i w:val="0"/>
          <w:iCs w:val="0"/>
          <w:caps w:val="0"/>
          <w:color w:val="000000"/>
          <w:spacing w:val="0"/>
          <w:sz w:val="32"/>
          <w:szCs w:val="32"/>
          <w:shd w:val="clear" w:color="auto" w:fill="FFFFFF"/>
        </w:rPr>
        <w:t>三）下一步改进措施。</w:t>
      </w:r>
      <w:r>
        <w:rPr>
          <w:rFonts w:hint="eastAsia" w:ascii="仿宋_GB2312" w:hAnsi="仿宋_GB2312" w:eastAsia="仿宋_GB2312" w:cs="仿宋_GB2312"/>
          <w:i w:val="0"/>
          <w:iCs w:val="0"/>
          <w:caps w:val="0"/>
          <w:color w:val="000000"/>
          <w:spacing w:val="0"/>
          <w:kern w:val="2"/>
          <w:sz w:val="32"/>
          <w:szCs w:val="32"/>
          <w:lang w:val="en-US" w:eastAsia="zh-CN" w:bidi="ar-SA"/>
        </w:rPr>
        <w:t>针对上述问题，将做出以下改进措施，在意见征集之前做好统筹安排，严格规范意见征集流程，对发布内容加大核查力度，强化监督监测，使意见征集方面做到要素齐全、流程完善。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仿宋_GB2312" w:hAnsi="仿宋_GB2312" w:eastAsia="仿宋_GB2312" w:cs="仿宋_GB2312"/>
          <w:i w:val="0"/>
          <w:iCs w:val="0"/>
          <w:caps w:val="0"/>
          <w:color w:val="000000"/>
          <w:spacing w:val="0"/>
          <w:kern w:val="2"/>
          <w:sz w:val="32"/>
          <w:szCs w:val="32"/>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宋体" w:hAnsi="宋体" w:eastAsia="宋体" w:cs="宋体"/>
          <w:i w:val="0"/>
          <w:iCs w:val="0"/>
          <w:caps w:val="0"/>
          <w:color w:val="333333"/>
          <w:spacing w:val="0"/>
          <w:sz w:val="24"/>
          <w:szCs w:val="24"/>
        </w:rPr>
      </w:pPr>
      <w:r>
        <w:rPr>
          <w:rFonts w:hint="eastAsia" w:ascii="黑体" w:hAnsi="黑体" w:eastAsia="黑体" w:cs="黑体"/>
          <w:kern w:val="2"/>
          <w:sz w:val="32"/>
          <w:szCs w:val="32"/>
          <w:lang w:val="en-US" w:eastAsia="zh-CN" w:bidi="ar-SA"/>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r>
        <w:rPr>
          <w:rFonts w:hint="eastAsia" w:ascii="仿宋_GB2312" w:hAnsi="仿宋_GB2312" w:eastAsia="仿宋_GB2312" w:cs="仿宋_GB2312"/>
          <w:i w:val="0"/>
          <w:iCs w:val="0"/>
          <w:caps w:val="0"/>
          <w:color w:val="000000"/>
          <w:spacing w:val="0"/>
          <w:kern w:val="2"/>
          <w:sz w:val="32"/>
          <w:szCs w:val="32"/>
          <w:lang w:val="en-US" w:eastAsia="zh-CN" w:bidi="ar-SA"/>
        </w:rPr>
        <w:t>按照《国务院办公厅关于印发〈政府信息公开信息处理费管理办法〉的通知》（国办函〔2020〕109号）规定的按件、按量收费标准，本年度没有产生信息公开处理费。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630" w:rightChars="300" w:firstLine="0" w:firstLineChars="0"/>
        <w:jc w:val="right"/>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金寨县卫生健康委员会</w:t>
      </w:r>
    </w:p>
    <w:p>
      <w:pPr>
        <w:keepNext w:val="0"/>
        <w:keepLines w:val="0"/>
        <w:pageBreakBefore w:val="0"/>
        <w:widowControl w:val="0"/>
        <w:kinsoku/>
        <w:wordWrap/>
        <w:overflowPunct/>
        <w:topLinePunct w:val="0"/>
        <w:autoSpaceDE/>
        <w:autoSpaceDN/>
        <w:bidi w:val="0"/>
        <w:adjustRightInd/>
        <w:snapToGrid/>
        <w:spacing w:line="240" w:lineRule="auto"/>
        <w:ind w:right="945" w:rightChars="450" w:firstLine="0" w:firstLineChars="0"/>
        <w:jc w:val="right"/>
        <w:textAlignment w:val="auto"/>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仿宋_GB2312" w:hAnsi="Times New Roman" w:eastAsia="仿宋_GB2312"/>
          <w:sz w:val="32"/>
          <w:szCs w:val="32"/>
        </w:rPr>
        <w:t>年</w:t>
      </w:r>
      <w:r>
        <w:rPr>
          <w:rFonts w:hint="eastAsia" w:ascii="Times New Roman"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Times New Roman" w:hAnsi="Times New Roman" w:eastAsia="仿宋_GB2312"/>
          <w:sz w:val="32"/>
          <w:szCs w:val="32"/>
          <w:lang w:val="en-US" w:eastAsia="zh-CN"/>
        </w:rPr>
        <w:t>24</w:t>
      </w:r>
      <w:r>
        <w:rPr>
          <w:rFonts w:hint="eastAsia" w:ascii="仿宋_GB2312" w:hAnsi="Times New Roman" w:eastAsia="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DkyNTRiMGE4M2E1YzkxNWI3ZWRjNmZjM2U3ZWEifQ=="/>
  </w:docVars>
  <w:rsids>
    <w:rsidRoot w:val="1CD4040E"/>
    <w:rsid w:val="1CD4040E"/>
    <w:rsid w:val="2373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2024-02-21T00:47:00Z</dcterms:created>
  <dc:creator>人事科</dc:creator>
  <cp:lastModifiedBy>人事科</cp:lastModifiedBy>
  <dcterms:modified xsi:type="dcterms:W3CDTF">2024-02-21T00:48:37Z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7DF406DD2CD8403087807F55C3D37282_11</vt:lpwstr>
  </property>
</Properties>
</file>