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jc w:val="center"/>
        <w:rPr>
          <w:rFonts w:ascii="方正小标宋_GBK" w:hAnsi="方正小标宋简体" w:eastAsia="方正小标宋_GBK"/>
          <w:color w:val="000000"/>
          <w:kern w:val="0"/>
          <w:sz w:val="44"/>
          <w:szCs w:val="44"/>
        </w:rPr>
      </w:pPr>
      <w:bookmarkStart w:id="0" w:name="OLE_LINK1"/>
      <w:r>
        <w:rPr>
          <w:rFonts w:hint="eastAsia" w:ascii="方正小标宋_GBK" w:hAnsi="方正小标宋简体" w:eastAsia="方正小标宋_GBK"/>
          <w:color w:val="000000"/>
          <w:kern w:val="0"/>
          <w:sz w:val="44"/>
          <w:szCs w:val="44"/>
        </w:rPr>
        <w:t>金寨县桃岭乡人民政府</w:t>
      </w:r>
      <w:r>
        <w:rPr>
          <w:rFonts w:ascii="Times New Roman" w:eastAsia="方正小标宋_GBK"/>
          <w:color w:val="000000"/>
          <w:kern w:val="0"/>
          <w:sz w:val="44"/>
          <w:szCs w:val="44"/>
        </w:rPr>
        <w:t>2022</w:t>
      </w:r>
      <w:r>
        <w:rPr>
          <w:rFonts w:hint="eastAsia" w:ascii="方正小标宋_GBK" w:hAnsi="方正小标宋简体" w:eastAsia="方正小标宋_GBK"/>
          <w:color w:val="000000"/>
          <w:kern w:val="0"/>
          <w:sz w:val="44"/>
          <w:szCs w:val="44"/>
        </w:rPr>
        <w:t>年政府信息</w:t>
      </w:r>
    </w:p>
    <w:p>
      <w:pPr>
        <w:widowControl/>
        <w:shd w:val="clear" w:color="auto" w:fill="FFFFFF"/>
        <w:spacing w:line="560" w:lineRule="exact"/>
        <w:jc w:val="center"/>
        <w:rPr>
          <w:rFonts w:ascii="方正小标宋_GBK" w:hAnsi="方正小标宋简体" w:eastAsia="方正小标宋_GBK"/>
          <w:color w:val="000000"/>
          <w:kern w:val="0"/>
          <w:sz w:val="44"/>
          <w:szCs w:val="44"/>
        </w:rPr>
      </w:pPr>
      <w:r>
        <w:rPr>
          <w:rFonts w:hint="eastAsia" w:ascii="方正小标宋_GBK" w:hAnsi="方正小标宋简体" w:eastAsia="方正小标宋_GBK"/>
          <w:color w:val="000000"/>
          <w:kern w:val="0"/>
          <w:sz w:val="44"/>
          <w:szCs w:val="44"/>
        </w:rPr>
        <w:t>公开工作年度报告</w:t>
      </w:r>
    </w:p>
    <w:p>
      <w:pPr>
        <w:widowControl/>
        <w:shd w:val="clear" w:color="auto" w:fill="FFFFFF"/>
        <w:ind w:firstLine="480"/>
        <w:rPr>
          <w:rFonts w:ascii="Times New Roman" w:eastAsia="方正仿宋_GBK"/>
          <w:color w:val="000000"/>
          <w:kern w:val="0"/>
          <w:sz w:val="24"/>
        </w:rPr>
      </w:pPr>
    </w:p>
    <w:p>
      <w:pPr>
        <w:widowControl/>
        <w:shd w:val="clear" w:color="auto" w:fill="FFFFFF"/>
        <w:wordWrap w:val="0"/>
        <w:spacing w:line="590" w:lineRule="exact"/>
        <w:ind w:firstLine="482"/>
        <w:rPr>
          <w:rFonts w:hAnsi="仿宋_GB2312" w:eastAsia="方正仿宋_GBK" w:cs="仿宋_GB2312"/>
          <w:color w:val="000000"/>
        </w:rPr>
      </w:pPr>
      <w:r>
        <w:rPr>
          <w:rFonts w:hint="eastAsia" w:hAnsi="仿宋_GB2312" w:eastAsia="方正仿宋_GBK" w:cs="仿宋_GB2312"/>
          <w:color w:val="000000"/>
        </w:rPr>
        <w:t>本报告依据《中华人民共和国政府信息公开条例》（国务院令第</w:t>
      </w:r>
      <w:r>
        <w:rPr>
          <w:rFonts w:ascii="Times New Roman" w:eastAsia="方正仿宋_GBK"/>
          <w:color w:val="000000"/>
        </w:rPr>
        <w:t>711</w:t>
      </w:r>
      <w:r>
        <w:rPr>
          <w:rFonts w:hint="eastAsia" w:hAnsi="仿宋_GB2312" w:eastAsia="方正仿宋_GBK" w:cs="仿宋_GB2312"/>
          <w:color w:val="000000"/>
        </w:rPr>
        <w:t>号，以下简称（新《条例》)和</w:t>
      </w:r>
      <w:r>
        <w:rPr>
          <w:rFonts w:hint="eastAsia" w:eastAsia="方正仿宋_GBK"/>
        </w:rPr>
        <w:t>《</w:t>
      </w:r>
      <w:r>
        <w:rPr>
          <w:rFonts w:hint="eastAsia" w:hAnsi="仿宋_GB2312" w:eastAsia="方正仿宋_GBK" w:cs="仿宋_GB2312"/>
          <w:color w:val="000000"/>
        </w:rPr>
        <w:t>金寨县政务公开办公室关于做好</w:t>
      </w:r>
      <w:r>
        <w:rPr>
          <w:rFonts w:ascii="Times New Roman" w:eastAsia="方正仿宋_GBK"/>
          <w:color w:val="000000"/>
        </w:rPr>
        <w:t>2022</w:t>
      </w:r>
      <w:r>
        <w:rPr>
          <w:rFonts w:hint="eastAsia" w:hAnsi="仿宋_GB2312" w:eastAsia="方正仿宋_GBK" w:cs="仿宋_GB2312"/>
          <w:color w:val="000000"/>
        </w:rPr>
        <w:t>年度政府信息公开年度报告编制和发布工作的通知》（金政公开〔</w:t>
      </w:r>
      <w:r>
        <w:rPr>
          <w:rFonts w:ascii="Times New Roman" w:eastAsia="方正仿宋_GBK"/>
          <w:color w:val="000000"/>
        </w:rPr>
        <w:t>2023</w:t>
      </w:r>
      <w:r>
        <w:rPr>
          <w:rFonts w:hint="eastAsia" w:hAnsi="仿宋_GB2312" w:eastAsia="方正仿宋_GBK" w:cs="仿宋_GB2312"/>
          <w:color w:val="000000"/>
        </w:rPr>
        <w:t>〕</w:t>
      </w:r>
      <w:r>
        <w:rPr>
          <w:rFonts w:ascii="Times New Roman" w:eastAsia="方正仿宋_GBK"/>
          <w:color w:val="000000"/>
        </w:rPr>
        <w:t>1</w:t>
      </w:r>
      <w:r>
        <w:rPr>
          <w:rFonts w:hint="eastAsia" w:hAnsi="仿宋_GB2312" w:eastAsia="方正仿宋_GBK" w:cs="仿宋_GB2312"/>
          <w:color w:val="000000"/>
        </w:rPr>
        <w:t>号）要求编制而成。报告主要包括：总体情况、行政机关主动公开政府信息情况、收到和处理政府信息公开申请情况、政府信息公开行政复议、行政诉讼情况、政府信息公开工作存在的主要问题及改进情况和其他需要报告的事项。本报告中使用数据统计期限为</w:t>
      </w:r>
      <w:r>
        <w:rPr>
          <w:rFonts w:ascii="Times New Roman" w:eastAsia="方正仿宋_GBK"/>
          <w:color w:val="000000"/>
        </w:rPr>
        <w:t>2022</w:t>
      </w:r>
      <w:r>
        <w:rPr>
          <w:rFonts w:hint="eastAsia" w:hAnsi="仿宋_GB2312" w:eastAsia="方正仿宋_GBK" w:cs="仿宋_GB2312"/>
          <w:color w:val="000000"/>
        </w:rPr>
        <w:t>年</w:t>
      </w:r>
      <w:r>
        <w:rPr>
          <w:rFonts w:ascii="Times New Roman" w:eastAsia="方正仿宋_GBK"/>
          <w:color w:val="000000"/>
        </w:rPr>
        <w:t>1</w:t>
      </w:r>
      <w:r>
        <w:rPr>
          <w:rFonts w:hint="eastAsia" w:hAnsi="仿宋_GB2312" w:eastAsia="方正仿宋_GBK" w:cs="仿宋_GB2312"/>
          <w:color w:val="000000"/>
        </w:rPr>
        <w:t>月</w:t>
      </w:r>
      <w:r>
        <w:rPr>
          <w:rFonts w:ascii="Times New Roman" w:eastAsia="方正仿宋_GBK"/>
          <w:color w:val="000000"/>
        </w:rPr>
        <w:t>1</w:t>
      </w:r>
      <w:r>
        <w:rPr>
          <w:rFonts w:hint="eastAsia" w:hAnsi="仿宋_GB2312" w:eastAsia="方正仿宋_GBK" w:cs="仿宋_GB2312"/>
          <w:color w:val="000000"/>
        </w:rPr>
        <w:t>日至</w:t>
      </w:r>
      <w:r>
        <w:rPr>
          <w:rFonts w:ascii="Times New Roman" w:eastAsia="方正仿宋_GBK"/>
          <w:color w:val="000000"/>
        </w:rPr>
        <w:t>12</w:t>
      </w:r>
      <w:r>
        <w:rPr>
          <w:rFonts w:hint="eastAsia" w:hAnsi="仿宋_GB2312" w:eastAsia="方正仿宋_GBK" w:cs="仿宋_GB2312"/>
          <w:color w:val="000000"/>
        </w:rPr>
        <w:t>月</w:t>
      </w:r>
      <w:r>
        <w:rPr>
          <w:rFonts w:ascii="Times New Roman" w:eastAsia="方正仿宋_GBK"/>
          <w:color w:val="000000"/>
        </w:rPr>
        <w:t>31</w:t>
      </w:r>
      <w:r>
        <w:rPr>
          <w:rFonts w:hint="eastAsia" w:hAnsi="仿宋_GB2312" w:eastAsia="方正仿宋_GBK" w:cs="仿宋_GB2312"/>
          <w:color w:val="000000"/>
        </w:rPr>
        <w:t>日，报告的电子版可在金寨县信息公开（</w:t>
      </w:r>
      <w:r>
        <w:rPr>
          <w:rFonts w:hAnsi="仿宋_GB2312" w:eastAsia="方正仿宋_GBK" w:cs="仿宋_GB2312"/>
          <w:color w:val="000000"/>
        </w:rPr>
        <w:t>https://www.ahjinzhai.gov.cn/public/content/36016482</w:t>
      </w:r>
      <w:r>
        <w:rPr>
          <w:rFonts w:hint="eastAsia" w:hAnsi="仿宋_GB2312" w:eastAsia="方正仿宋_GBK" w:cs="仿宋_GB2312"/>
          <w:color w:val="000000"/>
        </w:rPr>
        <w:t>）下载。如对本报告有任何疑问，请与金寨县桃岭乡人民政府办公室联系（地址：桃岭乡人民政府一楼，电话：</w:t>
      </w:r>
      <w:r>
        <w:rPr>
          <w:rFonts w:ascii="Times New Roman" w:eastAsia="方正仿宋_GBK"/>
          <w:color w:val="000000"/>
        </w:rPr>
        <w:t>0564</w:t>
      </w:r>
      <w:r>
        <w:rPr>
          <w:rFonts w:hint="eastAsia" w:hAnsi="仿宋_GB2312" w:eastAsia="方正仿宋_GBK" w:cs="仿宋_GB2312"/>
          <w:color w:val="000000"/>
        </w:rPr>
        <w:t>--</w:t>
      </w:r>
      <w:r>
        <w:rPr>
          <w:rFonts w:ascii="Times New Roman" w:eastAsia="方正仿宋_GBK"/>
          <w:color w:val="000000"/>
        </w:rPr>
        <w:t>7766001</w:t>
      </w:r>
      <w:r>
        <w:rPr>
          <w:rFonts w:hint="eastAsia" w:hAnsi="仿宋_GB2312" w:eastAsia="方正仿宋_GBK" w:cs="仿宋_GB2312"/>
          <w:color w:val="000000"/>
        </w:rPr>
        <w:t>，邮编：</w:t>
      </w:r>
      <w:r>
        <w:rPr>
          <w:rFonts w:ascii="Times New Roman" w:eastAsia="方正仿宋_GBK"/>
          <w:color w:val="000000"/>
        </w:rPr>
        <w:t>237382</w:t>
      </w:r>
      <w:r>
        <w:rPr>
          <w:rFonts w:hint="eastAsia" w:hAnsi="仿宋_GB2312" w:eastAsia="方正仿宋_GBK" w:cs="仿宋_GB2312"/>
          <w:color w:val="000000"/>
        </w:rPr>
        <w:t>）。</w:t>
      </w:r>
    </w:p>
    <w:p>
      <w:pPr>
        <w:widowControl/>
        <w:shd w:val="clear" w:color="auto" w:fill="FFFFFF"/>
        <w:wordWrap w:val="0"/>
        <w:spacing w:line="590" w:lineRule="exact"/>
        <w:ind w:firstLine="640" w:firstLineChars="200"/>
        <w:rPr>
          <w:rFonts w:ascii="方正黑体_GBK" w:hAnsi="黑体" w:eastAsia="方正黑体_GBK"/>
          <w:color w:val="000000"/>
          <w:kern w:val="0"/>
        </w:rPr>
      </w:pPr>
      <w:r>
        <w:rPr>
          <w:rFonts w:hint="eastAsia" w:ascii="方正黑体_GBK" w:hAnsi="黑体" w:eastAsia="方正黑体_GBK"/>
          <w:color w:val="000000"/>
          <w:kern w:val="0"/>
        </w:rPr>
        <w:t>一、总体情况</w:t>
      </w:r>
    </w:p>
    <w:p>
      <w:pPr>
        <w:widowControl/>
        <w:shd w:val="clear" w:color="auto" w:fill="FFFFFF"/>
        <w:wordWrap w:val="0"/>
        <w:spacing w:line="590" w:lineRule="exact"/>
        <w:ind w:firstLine="480"/>
        <w:rPr>
          <w:rFonts w:hAnsi="仿宋_GB2312" w:eastAsia="方正仿宋_GBK" w:cs="仿宋_GB2312"/>
          <w:color w:val="000000"/>
        </w:rPr>
      </w:pPr>
      <w:r>
        <w:rPr>
          <w:rFonts w:hint="eastAsia" w:ascii="方正楷体_GBK" w:hAnsi="仿宋_GB2312" w:eastAsia="方正楷体_GBK" w:cs="仿宋_GB2312"/>
          <w:color w:val="000000"/>
        </w:rPr>
        <w:t>（一）主动公开情况。</w:t>
      </w:r>
      <w:r>
        <w:rPr>
          <w:rFonts w:hint="eastAsia" w:hAnsi="仿宋_GB2312" w:eastAsia="方正仿宋_GBK" w:cs="仿宋_GB2312"/>
          <w:color w:val="000000"/>
        </w:rPr>
        <w:t>全年发布主动公开信息</w:t>
      </w:r>
      <w:r>
        <w:rPr>
          <w:rFonts w:ascii="Times New Roman" w:eastAsia="方正仿宋_GBK"/>
          <w:color w:val="000000"/>
        </w:rPr>
        <w:t>1127</w:t>
      </w:r>
      <w:r>
        <w:rPr>
          <w:rFonts w:hint="eastAsia" w:hAnsi="仿宋_GB2312" w:eastAsia="方正仿宋_GBK" w:cs="仿宋_GB2312"/>
          <w:color w:val="000000"/>
        </w:rPr>
        <w:t>条，“两化”领域信息</w:t>
      </w:r>
      <w:r>
        <w:rPr>
          <w:rFonts w:ascii="Times New Roman" w:eastAsia="方正仿宋_GBK"/>
          <w:color w:val="000000"/>
        </w:rPr>
        <w:t>2133</w:t>
      </w:r>
      <w:r>
        <w:rPr>
          <w:rFonts w:hint="eastAsia" w:hAnsi="仿宋_GB2312" w:eastAsia="方正仿宋_GBK" w:cs="仿宋_GB2312"/>
          <w:color w:val="000000"/>
        </w:rPr>
        <w:t>条。</w:t>
      </w:r>
      <w:r>
        <w:rPr>
          <w:rFonts w:hint="eastAsia" w:hAnsi="仿宋_GB2312" w:eastAsia="方正仿宋_GBK" w:cs="仿宋_GB2312"/>
          <w:b/>
          <w:bCs/>
          <w:color w:val="000000"/>
        </w:rPr>
        <w:t>深化信息发布。</w:t>
      </w:r>
      <w:r>
        <w:rPr>
          <w:rFonts w:hint="eastAsia" w:hAnsi="仿宋_GB2312" w:eastAsia="方正仿宋_GBK" w:cs="仿宋_GB2312"/>
          <w:color w:val="000000"/>
        </w:rPr>
        <w:t>坚持信息产生即发布，保障公开的时效性准确性。按月公开各项行政权力结果性信息</w:t>
      </w:r>
      <w:r>
        <w:rPr>
          <w:rFonts w:ascii="Times New Roman" w:eastAsia="方正仿宋_GBK"/>
          <w:color w:val="000000"/>
        </w:rPr>
        <w:t>76</w:t>
      </w:r>
      <w:r>
        <w:rPr>
          <w:rFonts w:hint="eastAsia" w:hAnsi="仿宋_GB2312" w:eastAsia="方正仿宋_GBK" w:cs="仿宋_GB2312"/>
          <w:color w:val="000000"/>
        </w:rPr>
        <w:t>条。及时回应群众关切，发布疫情防控、办事服务等信息</w:t>
      </w:r>
      <w:r>
        <w:rPr>
          <w:rFonts w:ascii="Times New Roman" w:eastAsia="方正仿宋_GBK"/>
          <w:color w:val="000000"/>
        </w:rPr>
        <w:t>130</w:t>
      </w:r>
      <w:r>
        <w:rPr>
          <w:rFonts w:hint="eastAsia" w:hAnsi="仿宋_GB2312" w:eastAsia="方正仿宋_GBK" w:cs="仿宋_GB2312"/>
          <w:color w:val="000000"/>
        </w:rPr>
        <w:t>余条。围绕助力经济平稳发展和促进务工就业，加大国民经济统计信息公开，发布相关信息</w:t>
      </w:r>
      <w:r>
        <w:rPr>
          <w:rFonts w:ascii="Times New Roman" w:eastAsia="方正仿宋_GBK"/>
          <w:color w:val="000000"/>
        </w:rPr>
        <w:t>40</w:t>
      </w:r>
      <w:r>
        <w:rPr>
          <w:rFonts w:hint="eastAsia" w:hAnsi="仿宋_GB2312" w:eastAsia="方正仿宋_GBK" w:cs="仿宋_GB2312"/>
          <w:color w:val="000000"/>
        </w:rPr>
        <w:t>余条。</w:t>
      </w:r>
      <w:r>
        <w:rPr>
          <w:rFonts w:hint="eastAsia" w:hAnsi="仿宋_GB2312" w:eastAsia="方正仿宋_GBK" w:cs="仿宋_GB2312"/>
          <w:b/>
          <w:bCs/>
          <w:color w:val="000000"/>
        </w:rPr>
        <w:t>提升内容质量。</w:t>
      </w:r>
      <w:r>
        <w:rPr>
          <w:rFonts w:hint="eastAsia" w:hAnsi="仿宋_GB2312" w:eastAsia="方正仿宋_GBK" w:cs="仿宋_GB2312"/>
          <w:color w:val="000000"/>
        </w:rPr>
        <w:t>严格落实全省规范性文件格式标准，对</w:t>
      </w:r>
      <w:r>
        <w:rPr>
          <w:rFonts w:ascii="Times New Roman" w:eastAsia="方正仿宋_GBK"/>
          <w:color w:val="000000"/>
        </w:rPr>
        <w:t>2020</w:t>
      </w:r>
      <w:r>
        <w:rPr>
          <w:rFonts w:hint="eastAsia" w:hAnsi="仿宋_GB2312" w:eastAsia="方正仿宋_GBK" w:cs="仿宋_GB2312"/>
          <w:color w:val="000000"/>
        </w:rPr>
        <w:t>年以来的规范性文件进行调整，共调整</w:t>
      </w:r>
      <w:r>
        <w:rPr>
          <w:rFonts w:ascii="Times New Roman" w:eastAsia="方正仿宋_GBK"/>
          <w:color w:val="000000"/>
        </w:rPr>
        <w:t>15</w:t>
      </w:r>
      <w:r>
        <w:rPr>
          <w:rFonts w:hint="eastAsia" w:hAnsi="仿宋_GB2312" w:eastAsia="方正仿宋_GBK" w:cs="仿宋_GB2312"/>
          <w:color w:val="000000"/>
        </w:rPr>
        <w:t>件。加强图表、数据等内容优化，确保各项补贴结果内容完整，显示准确。</w:t>
      </w:r>
      <w:r>
        <w:rPr>
          <w:rFonts w:hint="eastAsia" w:hAnsi="仿宋_GB2312" w:eastAsia="方正仿宋_GBK" w:cs="仿宋_GB2312"/>
          <w:b/>
          <w:bCs/>
          <w:color w:val="000000"/>
        </w:rPr>
        <w:t>抓实村务公开。</w:t>
      </w:r>
      <w:r>
        <w:rPr>
          <w:rFonts w:ascii="Times New Roman" w:eastAsia="方正仿宋_GBK"/>
          <w:color w:val="000000"/>
        </w:rPr>
        <w:t>8</w:t>
      </w:r>
      <w:r>
        <w:rPr>
          <w:rFonts w:hint="eastAsia" w:hAnsi="仿宋_GB2312" w:eastAsia="方正仿宋_GBK" w:cs="仿宋_GB2312"/>
          <w:color w:val="000000"/>
        </w:rPr>
        <w:t>个行政村财务、村务等信息按月在公开栏公示，纸质资料汇总归档，年内开展工作检查</w:t>
      </w:r>
      <w:r>
        <w:rPr>
          <w:rFonts w:ascii="Times New Roman" w:eastAsia="方正仿宋_GBK"/>
          <w:color w:val="000000"/>
        </w:rPr>
        <w:t>12</w:t>
      </w:r>
      <w:r>
        <w:rPr>
          <w:rFonts w:hint="eastAsia" w:hAnsi="仿宋_GB2312" w:eastAsia="方正仿宋_GBK" w:cs="仿宋_GB2312"/>
          <w:color w:val="000000"/>
        </w:rPr>
        <w:t>次。</w:t>
      </w:r>
    </w:p>
    <w:p>
      <w:pPr>
        <w:widowControl/>
        <w:shd w:val="clear" w:color="auto" w:fill="FFFFFF"/>
        <w:wordWrap w:val="0"/>
        <w:spacing w:line="590" w:lineRule="exact"/>
        <w:ind w:firstLine="480"/>
        <w:rPr>
          <w:rFonts w:hAnsi="仿宋_GB2312" w:eastAsia="方正仿宋_GBK" w:cs="仿宋_GB2312"/>
          <w:color w:val="000000"/>
        </w:rPr>
      </w:pPr>
      <w:r>
        <w:rPr>
          <w:rFonts w:hint="eastAsia" w:ascii="方正楷体_GBK" w:hAnsi="仿宋_GB2312" w:eastAsia="方正楷体_GBK" w:cs="仿宋_GB2312"/>
          <w:color w:val="000000"/>
        </w:rPr>
        <w:t>（二）依申请公开情况。</w:t>
      </w:r>
      <w:r>
        <w:rPr>
          <w:rFonts w:hint="eastAsia" w:hAnsi="仿宋_GB2312" w:eastAsia="方正仿宋_GBK" w:cs="仿宋_GB2312"/>
          <w:color w:val="000000"/>
        </w:rPr>
        <w:t>办理依申请公开信息</w:t>
      </w:r>
      <w:r>
        <w:rPr>
          <w:rFonts w:ascii="Times New Roman" w:eastAsia="方正仿宋_GBK"/>
        </w:rPr>
        <w:t>1</w:t>
      </w:r>
      <w:r>
        <w:rPr>
          <w:rFonts w:hint="eastAsia" w:eastAsia="方正仿宋_GBK"/>
        </w:rPr>
        <w:t>件，通过依申请公开平台，按期限答复办结。未发生因政府信息公开申请行政复议、提起行政诉讼情况。</w:t>
      </w:r>
    </w:p>
    <w:p>
      <w:pPr>
        <w:widowControl/>
        <w:shd w:val="clear" w:color="auto" w:fill="FFFFFF"/>
        <w:wordWrap w:val="0"/>
        <w:spacing w:line="590" w:lineRule="exact"/>
        <w:ind w:firstLine="480"/>
        <w:rPr>
          <w:rFonts w:hAnsi="仿宋_GB2312" w:eastAsia="方正仿宋_GBK" w:cs="仿宋_GB2312"/>
          <w:color w:val="000000"/>
        </w:rPr>
      </w:pPr>
      <w:r>
        <w:rPr>
          <w:rFonts w:hint="eastAsia" w:ascii="方正楷体_GBK" w:hAnsi="仿宋_GB2312" w:eastAsia="方正楷体_GBK" w:cs="仿宋_GB2312"/>
          <w:color w:val="000000"/>
        </w:rPr>
        <w:t>（三）政府信息管理情况。</w:t>
      </w:r>
      <w:r>
        <w:rPr>
          <w:rFonts w:hint="eastAsia" w:hAnsi="仿宋_GB2312" w:eastAsia="方正仿宋_GBK" w:cs="仿宋_GB2312"/>
          <w:color w:val="000000"/>
        </w:rPr>
        <w:t>根据县政务公开办相关要求，实行信息发布</w:t>
      </w:r>
      <w:bookmarkStart w:id="1" w:name="_GoBack"/>
      <w:bookmarkEnd w:id="1"/>
      <w:r>
        <w:rPr>
          <w:rFonts w:hint="eastAsia" w:hAnsi="仿宋_GB2312" w:eastAsia="方正仿宋_GBK" w:cs="仿宋_GB2312"/>
          <w:color w:val="000000"/>
        </w:rPr>
        <w:t>制度，建立审核台账。定期开展网站内容清理，累计整改错链</w:t>
      </w:r>
      <w:r>
        <w:rPr>
          <w:rFonts w:ascii="Times New Roman" w:eastAsia="方正仿宋_GBK"/>
          <w:color w:val="000000"/>
        </w:rPr>
        <w:t>200</w:t>
      </w:r>
      <w:r>
        <w:rPr>
          <w:rFonts w:hint="eastAsia" w:hAnsi="仿宋_GB2312" w:eastAsia="方正仿宋_GBK" w:cs="仿宋_GB2312"/>
          <w:color w:val="000000"/>
        </w:rPr>
        <w:t>余条，错误表述、敏感词</w:t>
      </w:r>
      <w:r>
        <w:rPr>
          <w:rFonts w:ascii="Times New Roman" w:eastAsia="方正仿宋_GBK"/>
          <w:color w:val="000000"/>
        </w:rPr>
        <w:t>15</w:t>
      </w:r>
      <w:r>
        <w:rPr>
          <w:rFonts w:hint="eastAsia" w:hAnsi="仿宋_GB2312" w:eastAsia="方正仿宋_GBK" w:cs="仿宋_GB2312"/>
          <w:color w:val="000000"/>
        </w:rPr>
        <w:t>处。惠民惠农补贴信息确保脱敏后公开，加强对群众隐私信息保护。</w:t>
      </w:r>
    </w:p>
    <w:p>
      <w:pPr>
        <w:widowControl/>
        <w:shd w:val="clear" w:color="auto" w:fill="FFFFFF"/>
        <w:wordWrap w:val="0"/>
        <w:spacing w:line="590" w:lineRule="exact"/>
        <w:ind w:firstLine="480"/>
        <w:rPr>
          <w:rFonts w:hAnsi="仿宋_GB2312" w:eastAsia="方正仿宋_GBK" w:cs="仿宋_GB2312"/>
          <w:color w:val="000000"/>
        </w:rPr>
      </w:pPr>
      <w:r>
        <w:rPr>
          <w:rFonts w:hint="eastAsia" w:ascii="方正楷体_GBK" w:hAnsi="仿宋_GB2312" w:eastAsia="方正楷体_GBK" w:cs="仿宋_GB2312"/>
          <w:color w:val="000000"/>
        </w:rPr>
        <w:t>（四）政府信息公开平台建设情况。</w:t>
      </w:r>
      <w:r>
        <w:rPr>
          <w:rFonts w:hint="eastAsia" w:hAnsi="仿宋_GB2312" w:eastAsia="方正仿宋_GBK" w:cs="仿宋_GB2312"/>
          <w:color w:val="000000"/>
        </w:rPr>
        <w:t>按照省级</w:t>
      </w:r>
      <w:r>
        <w:rPr>
          <w:rFonts w:ascii="Times New Roman" w:eastAsia="方正仿宋_GBK"/>
          <w:color w:val="000000"/>
        </w:rPr>
        <w:t>2022</w:t>
      </w:r>
      <w:r>
        <w:rPr>
          <w:rFonts w:hint="eastAsia" w:hAnsi="仿宋_GB2312" w:eastAsia="方正仿宋_GBK" w:cs="仿宋_GB2312"/>
          <w:color w:val="000000"/>
        </w:rPr>
        <w:t>年目录指引，优化调整主动公开和“两化”领域，新增“自然资源”“交通运输”两个领域，及时更新相关信息。加强政府网站月度监测，坚决避免空白栏目出现，持续提升政府信息公开平台建设水平。探索“线下”公开平台，建成“自助查询、档案查阅、休息服务”等功能为一体的政务公开专区，功能区面积近</w:t>
      </w:r>
      <w:r>
        <w:rPr>
          <w:rFonts w:ascii="Times New Roman" w:eastAsia="方正仿宋_GBK"/>
          <w:color w:val="000000"/>
        </w:rPr>
        <w:t>40</w:t>
      </w:r>
      <w:r>
        <w:rPr>
          <w:rFonts w:hint="eastAsia" w:hAnsi="仿宋_GB2312" w:eastAsia="方正仿宋_GBK" w:cs="仿宋_GB2312"/>
          <w:color w:val="000000"/>
        </w:rPr>
        <w:t>平方米。</w:t>
      </w:r>
    </w:p>
    <w:p>
      <w:pPr>
        <w:widowControl/>
        <w:shd w:val="clear" w:color="auto" w:fill="FFFFFF"/>
        <w:wordWrap w:val="0"/>
        <w:spacing w:line="590" w:lineRule="exact"/>
        <w:ind w:firstLine="480"/>
        <w:rPr>
          <w:rFonts w:hAnsi="仿宋_GB2312" w:eastAsia="方正仿宋_GBK" w:cs="仿宋_GB2312"/>
          <w:color w:val="000000"/>
        </w:rPr>
      </w:pPr>
      <w:r>
        <w:rPr>
          <w:rFonts w:hint="eastAsia" w:ascii="方正楷体_GBK" w:hAnsi="仿宋_GB2312" w:eastAsia="方正楷体_GBK" w:cs="仿宋_GB2312"/>
          <w:color w:val="000000"/>
        </w:rPr>
        <w:t>（五）监督保障情况。</w:t>
      </w:r>
      <w:r>
        <w:rPr>
          <w:rFonts w:hint="eastAsia" w:hAnsi="仿宋_GB2312" w:eastAsia="方正仿宋_GBK" w:cs="仿宋_GB2312"/>
          <w:color w:val="000000"/>
        </w:rPr>
        <w:t>根据人员变动及时调整公开工作领导小组及成员。将市、县每月监测情况，作为对乡政务公开工作人员考核的重要指标，</w:t>
      </w:r>
      <w:r>
        <w:rPr>
          <w:rFonts w:ascii="Times New Roman" w:eastAsia="方正仿宋_GBK"/>
          <w:color w:val="000000"/>
        </w:rPr>
        <w:t>2022</w:t>
      </w:r>
      <w:r>
        <w:rPr>
          <w:rFonts w:hint="eastAsia" w:hAnsi="仿宋_GB2312" w:eastAsia="方正仿宋_GBK" w:cs="仿宋_GB2312"/>
          <w:color w:val="000000"/>
        </w:rPr>
        <w:t>年我乡未发生政务公开责任追究事件。我乡本年度积极面向社会公众征求意见和建议，提升信息公开的社会评议质量，更加有针对性地开展工作。</w:t>
      </w:r>
    </w:p>
    <w:p>
      <w:pPr>
        <w:widowControl/>
        <w:shd w:val="clear" w:color="auto" w:fill="FFFFFF"/>
        <w:wordWrap w:val="0"/>
        <w:spacing w:line="590" w:lineRule="exact"/>
        <w:ind w:firstLine="640" w:firstLineChars="200"/>
        <w:rPr>
          <w:rFonts w:ascii="方正黑体_GBK" w:eastAsia="方正黑体_GBK"/>
          <w:color w:val="000000"/>
          <w:kern w:val="0"/>
          <w:sz w:val="24"/>
        </w:rPr>
      </w:pPr>
      <w:r>
        <w:rPr>
          <w:rFonts w:hint="eastAsia" w:ascii="方正黑体_GBK" w:hAnsi="黑体" w:eastAsia="方正黑体_GBK" w:cs="宋体"/>
          <w:bCs/>
          <w:color w:val="000000"/>
          <w:shd w:val="clear" w:color="auto" w:fill="FFFFFF"/>
        </w:rPr>
        <w:t>二、主动公开政府信息情况</w:t>
      </w:r>
    </w:p>
    <w:tbl>
      <w:tblPr>
        <w:tblStyle w:val="6"/>
        <w:tblW w:w="9952" w:type="dxa"/>
        <w:jc w:val="center"/>
        <w:tblLayout w:type="fixed"/>
        <w:tblCellMar>
          <w:top w:w="0" w:type="dxa"/>
          <w:left w:w="0" w:type="dxa"/>
          <w:bottom w:w="0" w:type="dxa"/>
          <w:right w:w="0" w:type="dxa"/>
        </w:tblCellMar>
      </w:tblPr>
      <w:tblGrid>
        <w:gridCol w:w="2488"/>
        <w:gridCol w:w="2488"/>
        <w:gridCol w:w="2488"/>
        <w:gridCol w:w="2488"/>
      </w:tblGrid>
      <w:tr>
        <w:tblPrEx>
          <w:tblCellMar>
            <w:top w:w="0" w:type="dxa"/>
            <w:left w:w="0" w:type="dxa"/>
            <w:bottom w:w="0" w:type="dxa"/>
            <w:right w:w="0" w:type="dxa"/>
          </w:tblCellMar>
        </w:tblPrEx>
        <w:trPr>
          <w:trHeight w:val="504" w:hRule="atLeast"/>
          <w:jc w:val="center"/>
        </w:trPr>
        <w:tc>
          <w:tcPr>
            <w:tcW w:w="9952"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color w:val="000000"/>
                <w:sz w:val="40"/>
                <w:szCs w:val="40"/>
              </w:rPr>
            </w:pPr>
            <w:r>
              <w:rPr>
                <w:rFonts w:hint="eastAsia" w:ascii="宋体" w:hAnsi="宋体" w:eastAsia="宋体" w:cs="宋体"/>
                <w:color w:val="000000"/>
                <w:kern w:val="0"/>
                <w:sz w:val="22"/>
                <w:szCs w:val="22"/>
              </w:rPr>
              <w:t>第二十条第（一）项</w:t>
            </w:r>
          </w:p>
        </w:tc>
      </w:tr>
      <w:tr>
        <w:tblPrEx>
          <w:tblCellMar>
            <w:top w:w="0" w:type="dxa"/>
            <w:left w:w="0" w:type="dxa"/>
            <w:bottom w:w="0" w:type="dxa"/>
            <w:right w:w="0" w:type="dxa"/>
          </w:tblCellMar>
        </w:tblPrEx>
        <w:trPr>
          <w:trHeight w:val="504" w:hRule="atLeast"/>
          <w:jc w:val="center"/>
        </w:trPr>
        <w:tc>
          <w:tcPr>
            <w:tcW w:w="2488"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eastAsia="方正仿宋_GBK"/>
                <w:color w:val="000000"/>
                <w:sz w:val="40"/>
                <w:szCs w:val="40"/>
              </w:rPr>
            </w:pPr>
            <w:r>
              <w:rPr>
                <w:rFonts w:hint="eastAsia" w:ascii="宋体" w:hAnsi="宋体" w:eastAsia="宋体" w:cs="宋体"/>
                <w:color w:val="000000"/>
                <w:kern w:val="0"/>
                <w:sz w:val="22"/>
                <w:szCs w:val="22"/>
              </w:rPr>
              <w:t>信息内容</w:t>
            </w:r>
          </w:p>
        </w:tc>
        <w:tc>
          <w:tcPr>
            <w:tcW w:w="2488"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eastAsia="方正仿宋_GBK"/>
                <w:color w:val="000000"/>
                <w:sz w:val="40"/>
                <w:szCs w:val="40"/>
              </w:rPr>
            </w:pPr>
            <w:r>
              <w:rPr>
                <w:rFonts w:hint="eastAsia" w:ascii="宋体" w:hAnsi="宋体" w:eastAsia="宋体" w:cs="宋体"/>
                <w:color w:val="000000"/>
                <w:kern w:val="0"/>
                <w:sz w:val="22"/>
                <w:szCs w:val="22"/>
              </w:rPr>
              <w:t>本年制发件数</w:t>
            </w:r>
          </w:p>
        </w:tc>
        <w:tc>
          <w:tcPr>
            <w:tcW w:w="2488"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eastAsia="方正仿宋_GBK"/>
                <w:color w:val="000000"/>
                <w:sz w:val="40"/>
                <w:szCs w:val="40"/>
              </w:rPr>
            </w:pPr>
            <w:r>
              <w:rPr>
                <w:rFonts w:hint="eastAsia" w:ascii="宋体" w:hAnsi="宋体" w:eastAsia="宋体" w:cs="宋体"/>
                <w:color w:val="000000"/>
                <w:kern w:val="0"/>
                <w:sz w:val="22"/>
                <w:szCs w:val="22"/>
              </w:rPr>
              <w:t>本年废止件数</w:t>
            </w:r>
          </w:p>
        </w:tc>
        <w:tc>
          <w:tcPr>
            <w:tcW w:w="2488"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color w:val="000000"/>
                <w:sz w:val="40"/>
                <w:szCs w:val="40"/>
              </w:rPr>
            </w:pPr>
            <w:r>
              <w:rPr>
                <w:rFonts w:hint="eastAsia" w:ascii="宋体" w:hAnsi="宋体" w:eastAsia="宋体" w:cs="宋体"/>
                <w:color w:val="000000"/>
                <w:kern w:val="0"/>
                <w:sz w:val="22"/>
                <w:szCs w:val="22"/>
              </w:rPr>
              <w:t>现行有效件数</w:t>
            </w:r>
          </w:p>
        </w:tc>
      </w:tr>
      <w:tr>
        <w:tblPrEx>
          <w:tblCellMar>
            <w:top w:w="0" w:type="dxa"/>
            <w:left w:w="0" w:type="dxa"/>
            <w:bottom w:w="0" w:type="dxa"/>
            <w:right w:w="0" w:type="dxa"/>
          </w:tblCellMar>
        </w:tblPrEx>
        <w:trPr>
          <w:trHeight w:val="681" w:hRule="atLeast"/>
          <w:jc w:val="center"/>
        </w:trPr>
        <w:tc>
          <w:tcPr>
            <w:tcW w:w="2488"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规章</w:t>
            </w:r>
          </w:p>
        </w:tc>
        <w:tc>
          <w:tcPr>
            <w:tcW w:w="24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eastAsia="宋体"/>
                <w:color w:val="000000"/>
                <w:kern w:val="0"/>
                <w:sz w:val="22"/>
                <w:szCs w:val="22"/>
              </w:rPr>
            </w:pPr>
            <w:r>
              <w:rPr>
                <w:rFonts w:ascii="Times New Roman" w:eastAsia="宋体"/>
                <w:color w:val="000000"/>
                <w:kern w:val="0"/>
                <w:sz w:val="22"/>
                <w:szCs w:val="22"/>
              </w:rPr>
              <w:t>0</w:t>
            </w:r>
          </w:p>
        </w:tc>
        <w:tc>
          <w:tcPr>
            <w:tcW w:w="24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eastAsia="宋体"/>
                <w:color w:val="000000"/>
                <w:kern w:val="0"/>
                <w:sz w:val="22"/>
                <w:szCs w:val="22"/>
              </w:rPr>
            </w:pPr>
            <w:r>
              <w:rPr>
                <w:rFonts w:ascii="Times New Roman" w:eastAsia="宋体"/>
                <w:color w:val="000000"/>
                <w:kern w:val="0"/>
                <w:sz w:val="22"/>
                <w:szCs w:val="22"/>
              </w:rPr>
              <w:t>0</w:t>
            </w:r>
          </w:p>
        </w:tc>
        <w:tc>
          <w:tcPr>
            <w:tcW w:w="24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eastAsia="宋体"/>
                <w:color w:val="000000"/>
                <w:kern w:val="0"/>
                <w:sz w:val="22"/>
                <w:szCs w:val="22"/>
              </w:rPr>
            </w:pPr>
            <w:r>
              <w:rPr>
                <w:rFonts w:ascii="Times New Roman" w:eastAsia="宋体"/>
                <w:color w:val="000000"/>
                <w:kern w:val="0"/>
                <w:sz w:val="22"/>
                <w:szCs w:val="22"/>
              </w:rPr>
              <w:t>0</w:t>
            </w:r>
          </w:p>
        </w:tc>
      </w:tr>
      <w:tr>
        <w:tblPrEx>
          <w:tblCellMar>
            <w:top w:w="0" w:type="dxa"/>
            <w:left w:w="0" w:type="dxa"/>
            <w:bottom w:w="0" w:type="dxa"/>
            <w:right w:w="0" w:type="dxa"/>
          </w:tblCellMar>
        </w:tblPrEx>
        <w:trPr>
          <w:trHeight w:val="504" w:hRule="atLeast"/>
          <w:jc w:val="center"/>
        </w:trPr>
        <w:tc>
          <w:tcPr>
            <w:tcW w:w="2488"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行政规范性文件</w:t>
            </w:r>
          </w:p>
        </w:tc>
        <w:tc>
          <w:tcPr>
            <w:tcW w:w="24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eastAsia="宋体"/>
                <w:color w:val="000000"/>
                <w:kern w:val="0"/>
                <w:sz w:val="22"/>
                <w:szCs w:val="22"/>
              </w:rPr>
            </w:pPr>
            <w:r>
              <w:rPr>
                <w:rFonts w:ascii="Times New Roman" w:eastAsia="宋体"/>
                <w:color w:val="000000"/>
                <w:kern w:val="0"/>
                <w:sz w:val="22"/>
                <w:szCs w:val="22"/>
              </w:rPr>
              <w:t>4</w:t>
            </w:r>
          </w:p>
        </w:tc>
        <w:tc>
          <w:tcPr>
            <w:tcW w:w="24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eastAsia="宋体"/>
                <w:color w:val="000000"/>
                <w:kern w:val="0"/>
                <w:sz w:val="22"/>
                <w:szCs w:val="22"/>
              </w:rPr>
            </w:pPr>
            <w:r>
              <w:rPr>
                <w:rFonts w:ascii="Times New Roman" w:eastAsia="宋体"/>
                <w:color w:val="000000"/>
                <w:kern w:val="0"/>
                <w:sz w:val="22"/>
                <w:szCs w:val="22"/>
              </w:rPr>
              <w:t>3</w:t>
            </w:r>
          </w:p>
        </w:tc>
        <w:tc>
          <w:tcPr>
            <w:tcW w:w="24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eastAsia="宋体"/>
                <w:color w:val="000000"/>
                <w:kern w:val="0"/>
                <w:sz w:val="22"/>
                <w:szCs w:val="22"/>
              </w:rPr>
            </w:pPr>
            <w:r>
              <w:rPr>
                <w:rFonts w:ascii="Times New Roman" w:eastAsia="宋体"/>
                <w:color w:val="000000"/>
                <w:kern w:val="0"/>
                <w:sz w:val="22"/>
                <w:szCs w:val="22"/>
              </w:rPr>
              <w:t>6</w:t>
            </w:r>
          </w:p>
        </w:tc>
      </w:tr>
      <w:tr>
        <w:tblPrEx>
          <w:tblCellMar>
            <w:top w:w="0" w:type="dxa"/>
            <w:left w:w="0" w:type="dxa"/>
            <w:bottom w:w="0" w:type="dxa"/>
            <w:right w:w="0" w:type="dxa"/>
          </w:tblCellMar>
        </w:tblPrEx>
        <w:trPr>
          <w:trHeight w:val="504" w:hRule="atLeast"/>
          <w:jc w:val="center"/>
        </w:trPr>
        <w:tc>
          <w:tcPr>
            <w:tcW w:w="9952"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color w:val="000000"/>
                <w:sz w:val="40"/>
                <w:szCs w:val="40"/>
              </w:rPr>
            </w:pPr>
            <w:r>
              <w:rPr>
                <w:rFonts w:hint="eastAsia" w:ascii="宋体" w:hAnsi="宋体" w:eastAsia="宋体" w:cs="宋体"/>
                <w:color w:val="000000"/>
                <w:kern w:val="0"/>
                <w:sz w:val="22"/>
                <w:szCs w:val="22"/>
              </w:rPr>
              <w:t>第二十条第（五）项</w:t>
            </w:r>
          </w:p>
        </w:tc>
      </w:tr>
      <w:tr>
        <w:tblPrEx>
          <w:tblCellMar>
            <w:top w:w="0" w:type="dxa"/>
            <w:left w:w="0" w:type="dxa"/>
            <w:bottom w:w="0" w:type="dxa"/>
            <w:right w:w="0" w:type="dxa"/>
          </w:tblCellMar>
        </w:tblPrEx>
        <w:trPr>
          <w:trHeight w:val="504" w:hRule="atLeast"/>
          <w:jc w:val="center"/>
        </w:trPr>
        <w:tc>
          <w:tcPr>
            <w:tcW w:w="2488"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eastAsia="方正仿宋_GBK"/>
                <w:color w:val="000000"/>
                <w:sz w:val="40"/>
                <w:szCs w:val="40"/>
              </w:rPr>
            </w:pPr>
            <w:r>
              <w:rPr>
                <w:rFonts w:hint="eastAsia" w:ascii="宋体" w:hAnsi="宋体" w:eastAsia="宋体" w:cs="宋体"/>
                <w:color w:val="000000"/>
                <w:kern w:val="0"/>
                <w:sz w:val="22"/>
                <w:szCs w:val="22"/>
              </w:rPr>
              <w:t>信息内容</w:t>
            </w:r>
          </w:p>
        </w:tc>
        <w:tc>
          <w:tcPr>
            <w:tcW w:w="7464"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color w:val="000000"/>
                <w:sz w:val="40"/>
                <w:szCs w:val="40"/>
              </w:rPr>
            </w:pPr>
            <w:r>
              <w:rPr>
                <w:rFonts w:hint="eastAsia" w:ascii="宋体" w:hAnsi="宋体" w:eastAsia="宋体" w:cs="宋体"/>
                <w:color w:val="000000"/>
                <w:kern w:val="0"/>
                <w:sz w:val="22"/>
                <w:szCs w:val="22"/>
              </w:rPr>
              <w:t>本年处理决定数量</w:t>
            </w:r>
          </w:p>
        </w:tc>
      </w:tr>
      <w:tr>
        <w:tblPrEx>
          <w:tblCellMar>
            <w:top w:w="0" w:type="dxa"/>
            <w:left w:w="0" w:type="dxa"/>
            <w:bottom w:w="0" w:type="dxa"/>
            <w:right w:w="0" w:type="dxa"/>
          </w:tblCellMar>
        </w:tblPrEx>
        <w:trPr>
          <w:trHeight w:val="504" w:hRule="atLeast"/>
          <w:jc w:val="center"/>
        </w:trPr>
        <w:tc>
          <w:tcPr>
            <w:tcW w:w="2488"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color w:val="000000"/>
                <w:sz w:val="40"/>
                <w:szCs w:val="40"/>
              </w:rPr>
            </w:pPr>
            <w:r>
              <w:rPr>
                <w:rFonts w:hint="eastAsia" w:ascii="宋体" w:hAnsi="宋体" w:eastAsia="宋体" w:cs="宋体"/>
                <w:color w:val="000000"/>
                <w:kern w:val="0"/>
                <w:sz w:val="22"/>
                <w:szCs w:val="22"/>
              </w:rPr>
              <w:t>行政许可</w:t>
            </w:r>
          </w:p>
        </w:tc>
        <w:tc>
          <w:tcPr>
            <w:tcW w:w="7464"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4"/>
                <w:szCs w:val="24"/>
              </w:rPr>
              <w:t>0</w:t>
            </w:r>
          </w:p>
        </w:tc>
      </w:tr>
      <w:tr>
        <w:tblPrEx>
          <w:tblCellMar>
            <w:top w:w="0" w:type="dxa"/>
            <w:left w:w="0" w:type="dxa"/>
            <w:bottom w:w="0" w:type="dxa"/>
            <w:right w:w="0" w:type="dxa"/>
          </w:tblCellMar>
        </w:tblPrEx>
        <w:trPr>
          <w:trHeight w:val="504" w:hRule="atLeast"/>
          <w:jc w:val="center"/>
        </w:trPr>
        <w:tc>
          <w:tcPr>
            <w:tcW w:w="9952"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color w:val="000000"/>
                <w:sz w:val="40"/>
                <w:szCs w:val="40"/>
              </w:rPr>
            </w:pPr>
            <w:r>
              <w:rPr>
                <w:rFonts w:hint="eastAsia" w:ascii="宋体" w:hAnsi="宋体" w:eastAsia="宋体" w:cs="宋体"/>
                <w:color w:val="000000"/>
                <w:kern w:val="0"/>
                <w:sz w:val="22"/>
                <w:szCs w:val="22"/>
              </w:rPr>
              <w:t>第二十条第（六）项</w:t>
            </w:r>
          </w:p>
        </w:tc>
      </w:tr>
      <w:tr>
        <w:tblPrEx>
          <w:tblCellMar>
            <w:top w:w="0" w:type="dxa"/>
            <w:left w:w="0" w:type="dxa"/>
            <w:bottom w:w="0" w:type="dxa"/>
            <w:right w:w="0" w:type="dxa"/>
          </w:tblCellMar>
        </w:tblPrEx>
        <w:trPr>
          <w:trHeight w:val="612" w:hRule="atLeast"/>
          <w:jc w:val="center"/>
        </w:trPr>
        <w:tc>
          <w:tcPr>
            <w:tcW w:w="2488"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eastAsia="方正仿宋_GBK"/>
                <w:color w:val="000000"/>
                <w:sz w:val="40"/>
                <w:szCs w:val="40"/>
              </w:rPr>
            </w:pPr>
            <w:r>
              <w:rPr>
                <w:rFonts w:hint="eastAsia" w:ascii="宋体" w:hAnsi="宋体" w:eastAsia="宋体" w:cs="宋体"/>
                <w:color w:val="000000"/>
                <w:kern w:val="0"/>
                <w:sz w:val="22"/>
                <w:szCs w:val="22"/>
              </w:rPr>
              <w:t>信息内容</w:t>
            </w:r>
          </w:p>
        </w:tc>
        <w:tc>
          <w:tcPr>
            <w:tcW w:w="7464" w:type="dxa"/>
            <w:gridSpan w:val="3"/>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color w:val="000000"/>
                <w:sz w:val="40"/>
                <w:szCs w:val="40"/>
              </w:rPr>
            </w:pPr>
            <w:r>
              <w:rPr>
                <w:rFonts w:hint="eastAsia" w:ascii="宋体" w:hAnsi="宋体" w:eastAsia="宋体" w:cs="宋体"/>
                <w:color w:val="000000"/>
                <w:kern w:val="0"/>
                <w:sz w:val="22"/>
                <w:szCs w:val="22"/>
              </w:rPr>
              <w:t>本年处理决定数量</w:t>
            </w:r>
          </w:p>
        </w:tc>
      </w:tr>
      <w:tr>
        <w:tblPrEx>
          <w:tblCellMar>
            <w:top w:w="0" w:type="dxa"/>
            <w:left w:w="0" w:type="dxa"/>
            <w:bottom w:w="0" w:type="dxa"/>
            <w:right w:w="0" w:type="dxa"/>
          </w:tblCellMar>
        </w:tblPrEx>
        <w:trPr>
          <w:trHeight w:val="614" w:hRule="atLeast"/>
          <w:jc w:val="center"/>
        </w:trPr>
        <w:tc>
          <w:tcPr>
            <w:tcW w:w="2488"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行政处罚</w:t>
            </w:r>
          </w:p>
        </w:tc>
        <w:tc>
          <w:tcPr>
            <w:tcW w:w="7464"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2"/>
                <w:szCs w:val="22"/>
              </w:rPr>
            </w:pPr>
            <w:r>
              <w:rPr>
                <w:rFonts w:ascii="Times New Roman" w:eastAsia="宋体"/>
                <w:color w:val="000000"/>
                <w:kern w:val="0"/>
                <w:sz w:val="22"/>
                <w:szCs w:val="22"/>
              </w:rPr>
              <w:t>10</w:t>
            </w:r>
          </w:p>
        </w:tc>
      </w:tr>
      <w:tr>
        <w:tblPrEx>
          <w:tblCellMar>
            <w:top w:w="0" w:type="dxa"/>
            <w:left w:w="0" w:type="dxa"/>
            <w:bottom w:w="0" w:type="dxa"/>
            <w:right w:w="0" w:type="dxa"/>
          </w:tblCellMar>
        </w:tblPrEx>
        <w:trPr>
          <w:trHeight w:val="504" w:hRule="atLeast"/>
          <w:jc w:val="center"/>
        </w:trPr>
        <w:tc>
          <w:tcPr>
            <w:tcW w:w="2488"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行政强制</w:t>
            </w:r>
          </w:p>
        </w:tc>
        <w:tc>
          <w:tcPr>
            <w:tcW w:w="7464"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eastAsia="宋体"/>
                <w:color w:val="000000"/>
                <w:kern w:val="0"/>
                <w:sz w:val="22"/>
                <w:szCs w:val="22"/>
              </w:rPr>
            </w:pPr>
            <w:r>
              <w:rPr>
                <w:rFonts w:ascii="Times New Roman" w:eastAsia="宋体"/>
                <w:color w:val="000000"/>
                <w:kern w:val="0"/>
                <w:sz w:val="22"/>
                <w:szCs w:val="22"/>
              </w:rPr>
              <w:t>0</w:t>
            </w:r>
          </w:p>
        </w:tc>
      </w:tr>
      <w:tr>
        <w:tblPrEx>
          <w:tblCellMar>
            <w:top w:w="0" w:type="dxa"/>
            <w:left w:w="0" w:type="dxa"/>
            <w:bottom w:w="0" w:type="dxa"/>
            <w:right w:w="0" w:type="dxa"/>
          </w:tblCellMar>
        </w:tblPrEx>
        <w:trPr>
          <w:trHeight w:val="504" w:hRule="atLeast"/>
          <w:jc w:val="center"/>
        </w:trPr>
        <w:tc>
          <w:tcPr>
            <w:tcW w:w="9952"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color w:val="000000"/>
                <w:sz w:val="40"/>
                <w:szCs w:val="40"/>
              </w:rPr>
            </w:pPr>
            <w:r>
              <w:rPr>
                <w:rFonts w:hint="eastAsia" w:ascii="宋体" w:hAnsi="宋体" w:eastAsia="宋体" w:cs="宋体"/>
                <w:color w:val="000000"/>
                <w:kern w:val="0"/>
                <w:sz w:val="22"/>
                <w:szCs w:val="22"/>
              </w:rPr>
              <w:t>第二十条第（八）项</w:t>
            </w:r>
          </w:p>
        </w:tc>
      </w:tr>
      <w:tr>
        <w:tblPrEx>
          <w:tblCellMar>
            <w:top w:w="0" w:type="dxa"/>
            <w:left w:w="0" w:type="dxa"/>
            <w:bottom w:w="0" w:type="dxa"/>
            <w:right w:w="0" w:type="dxa"/>
          </w:tblCellMar>
        </w:tblPrEx>
        <w:trPr>
          <w:trHeight w:val="504" w:hRule="atLeast"/>
          <w:jc w:val="center"/>
        </w:trPr>
        <w:tc>
          <w:tcPr>
            <w:tcW w:w="2488"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eastAsia="方正仿宋_GBK"/>
                <w:color w:val="000000"/>
                <w:sz w:val="40"/>
                <w:szCs w:val="40"/>
              </w:rPr>
            </w:pPr>
            <w:r>
              <w:rPr>
                <w:rFonts w:hint="eastAsia" w:ascii="宋体" w:hAnsi="宋体" w:eastAsia="宋体" w:cs="宋体"/>
                <w:color w:val="000000"/>
                <w:kern w:val="0"/>
                <w:sz w:val="22"/>
                <w:szCs w:val="22"/>
              </w:rPr>
              <w:t>信息内容</w:t>
            </w:r>
          </w:p>
        </w:tc>
        <w:tc>
          <w:tcPr>
            <w:tcW w:w="7464" w:type="dxa"/>
            <w:gridSpan w:val="3"/>
            <w:tcBorders>
              <w:top w:val="nil"/>
              <w:left w:val="nil"/>
              <w:bottom w:val="single" w:color="auto" w:sz="8" w:space="0"/>
              <w:right w:val="single" w:color="000000" w:sz="8" w:space="0"/>
            </w:tcBorders>
            <w:tcMar>
              <w:left w:w="57" w:type="dxa"/>
              <w:right w:w="57" w:type="dxa"/>
            </w:tcMar>
            <w:vAlign w:val="center"/>
          </w:tcPr>
          <w:p>
            <w:pPr>
              <w:widowControl/>
              <w:jc w:val="center"/>
              <w:rPr>
                <w:color w:val="000000"/>
                <w:sz w:val="40"/>
                <w:szCs w:val="40"/>
              </w:rPr>
            </w:pPr>
            <w:r>
              <w:rPr>
                <w:rFonts w:hint="eastAsia" w:ascii="宋体" w:hAnsi="宋体" w:eastAsia="宋体" w:cs="宋体"/>
                <w:color w:val="000000"/>
                <w:kern w:val="0"/>
                <w:sz w:val="22"/>
                <w:szCs w:val="22"/>
              </w:rPr>
              <w:t>本年收费金额（单位：万元）</w:t>
            </w:r>
          </w:p>
        </w:tc>
      </w:tr>
      <w:tr>
        <w:tblPrEx>
          <w:tblCellMar>
            <w:top w:w="0" w:type="dxa"/>
            <w:left w:w="0" w:type="dxa"/>
            <w:bottom w:w="0" w:type="dxa"/>
            <w:right w:w="0" w:type="dxa"/>
          </w:tblCellMar>
        </w:tblPrEx>
        <w:trPr>
          <w:trHeight w:val="504" w:hRule="atLeast"/>
          <w:jc w:val="center"/>
        </w:trPr>
        <w:tc>
          <w:tcPr>
            <w:tcW w:w="2488"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color w:val="000000"/>
                <w:sz w:val="40"/>
                <w:szCs w:val="40"/>
              </w:rPr>
            </w:pPr>
            <w:r>
              <w:rPr>
                <w:rFonts w:hint="eastAsia" w:ascii="宋体" w:hAnsi="宋体" w:eastAsia="宋体" w:cs="宋体"/>
                <w:color w:val="000000"/>
                <w:kern w:val="0"/>
                <w:sz w:val="22"/>
                <w:szCs w:val="22"/>
              </w:rPr>
              <w:t>行政事业性收费</w:t>
            </w:r>
          </w:p>
        </w:tc>
        <w:tc>
          <w:tcPr>
            <w:tcW w:w="7464" w:type="dxa"/>
            <w:gridSpan w:val="3"/>
            <w:tcBorders>
              <w:top w:val="nil"/>
              <w:left w:val="nil"/>
              <w:bottom w:val="single" w:color="auto" w:sz="8" w:space="0"/>
              <w:right w:val="single" w:color="000000" w:sz="8" w:space="0"/>
            </w:tcBorders>
            <w:tcMar>
              <w:left w:w="57" w:type="dxa"/>
              <w:right w:w="57" w:type="dxa"/>
            </w:tcMar>
            <w:vAlign w:val="center"/>
          </w:tcPr>
          <w:p>
            <w:pPr>
              <w:jc w:val="center"/>
              <w:rPr>
                <w:rFonts w:ascii="Times New Roman" w:eastAsia="方正仿宋_GBK"/>
                <w:color w:val="000000"/>
              </w:rPr>
            </w:pPr>
            <w:r>
              <w:rPr>
                <w:rFonts w:ascii="Times New Roman" w:eastAsia="方正仿宋_GBK"/>
                <w:color w:val="000000"/>
                <w:sz w:val="24"/>
                <w:szCs w:val="24"/>
              </w:rPr>
              <w:t>0</w:t>
            </w:r>
          </w:p>
        </w:tc>
      </w:tr>
    </w:tbl>
    <w:p>
      <w:pPr>
        <w:widowControl/>
        <w:jc w:val="left"/>
        <w:rPr>
          <w:rFonts w:eastAsia="方正仿宋_GBK"/>
          <w:color w:val="000000"/>
          <w:sz w:val="40"/>
          <w:szCs w:val="40"/>
        </w:rPr>
      </w:pPr>
    </w:p>
    <w:p>
      <w:pPr>
        <w:pStyle w:val="5"/>
        <w:widowControl/>
        <w:shd w:val="clear" w:color="auto" w:fill="FFFFFF"/>
        <w:spacing w:before="0" w:beforeAutospacing="0" w:after="0" w:afterAutospacing="0"/>
        <w:ind w:firstLine="640" w:firstLineChars="200"/>
        <w:jc w:val="both"/>
        <w:rPr>
          <w:rFonts w:ascii="方正黑体_GBK" w:hAnsi="黑体" w:eastAsia="方正黑体_GBK" w:cs="宋体"/>
          <w:bCs/>
          <w:color w:val="000000"/>
          <w:sz w:val="32"/>
          <w:shd w:val="clear" w:color="auto" w:fill="FFFFFF"/>
        </w:rPr>
      </w:pPr>
      <w:r>
        <w:rPr>
          <w:rFonts w:hint="eastAsia" w:ascii="方正黑体_GBK" w:hAnsi="黑体" w:eastAsia="方正黑体_GBK" w:cs="宋体"/>
          <w:bCs/>
          <w:color w:val="000000"/>
          <w:sz w:val="32"/>
          <w:shd w:val="clear" w:color="auto" w:fill="FFFFFF"/>
        </w:rPr>
        <w:t>三、收到和处理政府信息公开申请情况</w:t>
      </w:r>
    </w:p>
    <w:p>
      <w:pPr>
        <w:pStyle w:val="5"/>
        <w:widowControl/>
        <w:shd w:val="clear" w:color="auto" w:fill="FFFFFF"/>
        <w:spacing w:before="0" w:beforeAutospacing="0" w:after="0" w:afterAutospacing="0"/>
        <w:ind w:firstLine="420"/>
        <w:jc w:val="both"/>
        <w:rPr>
          <w:rFonts w:ascii="宋体" w:hAnsi="宋体" w:eastAsia="宋体" w:cs="宋体"/>
          <w:color w:val="000000"/>
          <w:sz w:val="32"/>
        </w:rPr>
      </w:pPr>
    </w:p>
    <w:tbl>
      <w:tblPr>
        <w:tblStyle w:val="6"/>
        <w:tblW w:w="979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70"/>
        <w:gridCol w:w="947"/>
        <w:gridCol w:w="3237"/>
        <w:gridCol w:w="691"/>
        <w:gridCol w:w="691"/>
        <w:gridCol w:w="691"/>
        <w:gridCol w:w="691"/>
        <w:gridCol w:w="691"/>
        <w:gridCol w:w="693"/>
        <w:gridCol w:w="69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4954"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widowControl/>
              <w:jc w:val="center"/>
              <w:rPr>
                <w:rFonts w:eastAsia="方正仿宋_GBK"/>
                <w:color w:val="000000"/>
                <w:sz w:val="40"/>
                <w:szCs w:val="40"/>
              </w:rPr>
            </w:pPr>
            <w:r>
              <w:rPr>
                <w:rFonts w:ascii="楷体" w:hAnsi="楷体" w:eastAsia="楷体" w:cs="楷体"/>
                <w:color w:val="000000"/>
                <w:kern w:val="0"/>
                <w:sz w:val="22"/>
                <w:szCs w:val="22"/>
              </w:rPr>
              <w:t>（本列数据的勾稽关系为：第一项加第二项之和，等于第三项加第四项之和）</w:t>
            </w:r>
          </w:p>
        </w:tc>
        <w:tc>
          <w:tcPr>
            <w:tcW w:w="4840" w:type="dxa"/>
            <w:gridSpan w:val="7"/>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color w:val="000000"/>
                <w:sz w:val="40"/>
                <w:szCs w:val="40"/>
              </w:rPr>
            </w:pPr>
            <w:r>
              <w:rPr>
                <w:rFonts w:hint="eastAsia" w:ascii="宋体" w:hAnsi="宋体" w:eastAsia="宋体" w:cs="宋体"/>
                <w:color w:val="000000"/>
                <w:kern w:val="0"/>
                <w:sz w:val="22"/>
                <w:szCs w:val="22"/>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4954"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ascii="宋体" w:eastAsia="方正仿宋_GBK"/>
                <w:color w:val="000000"/>
              </w:rPr>
            </w:pPr>
          </w:p>
        </w:tc>
        <w:tc>
          <w:tcPr>
            <w:tcW w:w="691" w:type="dxa"/>
            <w:vMerge w:val="restart"/>
            <w:tcBorders>
              <w:top w:val="nil"/>
              <w:left w:val="nil"/>
              <w:bottom w:val="single" w:color="auto" w:sz="8" w:space="0"/>
              <w:right w:val="single" w:color="auto" w:sz="8" w:space="0"/>
            </w:tcBorders>
            <w:tcMar>
              <w:left w:w="57" w:type="dxa"/>
              <w:right w:w="57" w:type="dxa"/>
            </w:tcMar>
            <w:vAlign w:val="center"/>
          </w:tcPr>
          <w:p>
            <w:pPr>
              <w:widowControl/>
              <w:jc w:val="center"/>
              <w:rPr>
                <w:rFonts w:eastAsia="方正仿宋_GBK"/>
                <w:color w:val="000000"/>
                <w:sz w:val="40"/>
                <w:szCs w:val="40"/>
              </w:rPr>
            </w:pPr>
            <w:r>
              <w:rPr>
                <w:rFonts w:hint="eastAsia" w:ascii="宋体" w:hAnsi="宋体" w:eastAsia="宋体" w:cs="宋体"/>
                <w:color w:val="000000"/>
                <w:kern w:val="0"/>
                <w:sz w:val="22"/>
                <w:szCs w:val="22"/>
              </w:rPr>
              <w:t>自然人</w:t>
            </w:r>
          </w:p>
        </w:tc>
        <w:tc>
          <w:tcPr>
            <w:tcW w:w="3457"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eastAsia="方正仿宋_GBK"/>
                <w:color w:val="000000"/>
                <w:sz w:val="40"/>
                <w:szCs w:val="40"/>
              </w:rPr>
            </w:pPr>
            <w:r>
              <w:rPr>
                <w:rFonts w:hint="eastAsia" w:ascii="宋体" w:hAnsi="宋体" w:eastAsia="宋体" w:cs="宋体"/>
                <w:color w:val="000000"/>
                <w:kern w:val="0"/>
                <w:sz w:val="22"/>
                <w:szCs w:val="22"/>
              </w:rPr>
              <w:t>法人或其他组织</w:t>
            </w:r>
          </w:p>
        </w:tc>
        <w:tc>
          <w:tcPr>
            <w:tcW w:w="691" w:type="dxa"/>
            <w:vMerge w:val="restart"/>
            <w:tcBorders>
              <w:top w:val="single" w:color="auto" w:sz="8" w:space="0"/>
              <w:left w:val="nil"/>
              <w:bottom w:val="outset" w:color="auto" w:sz="8" w:space="0"/>
              <w:right w:val="single" w:color="auto" w:sz="8" w:space="0"/>
            </w:tcBorders>
            <w:tcMar>
              <w:left w:w="108" w:type="dxa"/>
              <w:right w:w="108" w:type="dxa"/>
            </w:tcMar>
            <w:vAlign w:val="center"/>
          </w:tcPr>
          <w:p>
            <w:pPr>
              <w:widowControl/>
              <w:jc w:val="center"/>
              <w:rPr>
                <w:color w:val="000000"/>
                <w:sz w:val="40"/>
                <w:szCs w:val="40"/>
              </w:rPr>
            </w:pPr>
            <w:r>
              <w:rPr>
                <w:rFonts w:hint="eastAsia" w:ascii="宋体" w:hAnsi="宋体" w:eastAsia="宋体" w:cs="宋体"/>
                <w:color w:val="000000"/>
                <w:kern w:val="0"/>
                <w:sz w:val="22"/>
                <w:szCs w:val="2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4954"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ascii="宋体"/>
                <w:color w:val="000000"/>
              </w:rPr>
            </w:pPr>
          </w:p>
        </w:tc>
        <w:tc>
          <w:tcPr>
            <w:tcW w:w="691" w:type="dxa"/>
            <w:vMerge w:val="continue"/>
            <w:tcBorders>
              <w:top w:val="nil"/>
              <w:left w:val="nil"/>
              <w:bottom w:val="single" w:color="auto" w:sz="8" w:space="0"/>
              <w:right w:val="single" w:color="auto" w:sz="8" w:space="0"/>
            </w:tcBorders>
            <w:tcMar>
              <w:left w:w="57" w:type="dxa"/>
              <w:right w:w="57" w:type="dxa"/>
            </w:tcMar>
            <w:vAlign w:val="center"/>
          </w:tcPr>
          <w:p>
            <w:pPr>
              <w:rPr>
                <w:rFonts w:ascii="宋体" w:eastAsia="方正仿宋_GBK"/>
                <w:color w:val="000000"/>
              </w:rPr>
            </w:pPr>
          </w:p>
        </w:tc>
        <w:tc>
          <w:tcPr>
            <w:tcW w:w="691" w:type="dxa"/>
            <w:tcBorders>
              <w:top w:val="nil"/>
              <w:left w:val="nil"/>
              <w:bottom w:val="single" w:color="auto" w:sz="8" w:space="0"/>
              <w:right w:val="single" w:color="auto" w:sz="8" w:space="0"/>
            </w:tcBorders>
            <w:tcMar>
              <w:left w:w="108" w:type="dxa"/>
              <w:right w:w="108" w:type="dxa"/>
            </w:tcMar>
            <w:vAlign w:val="center"/>
          </w:tcPr>
          <w:p>
            <w:pPr>
              <w:widowControl/>
              <w:jc w:val="center"/>
              <w:rPr>
                <w:rFonts w:eastAsia="方正仿宋_GBK"/>
                <w:color w:val="000000"/>
                <w:sz w:val="40"/>
                <w:szCs w:val="40"/>
              </w:rPr>
            </w:pPr>
            <w:r>
              <w:rPr>
                <w:rFonts w:hint="eastAsia" w:ascii="宋体" w:hAnsi="宋体" w:eastAsia="宋体" w:cs="宋体"/>
                <w:color w:val="000000"/>
                <w:kern w:val="0"/>
                <w:sz w:val="22"/>
                <w:szCs w:val="22"/>
              </w:rPr>
              <w:t>商业</w:t>
            </w:r>
          </w:p>
          <w:p>
            <w:pPr>
              <w:widowControl/>
              <w:jc w:val="center"/>
              <w:rPr>
                <w:rFonts w:eastAsia="方正仿宋_GBK"/>
                <w:color w:val="000000"/>
                <w:sz w:val="40"/>
                <w:szCs w:val="40"/>
              </w:rPr>
            </w:pPr>
            <w:r>
              <w:rPr>
                <w:rFonts w:hint="eastAsia" w:ascii="宋体" w:hAnsi="宋体" w:eastAsia="宋体" w:cs="宋体"/>
                <w:color w:val="000000"/>
                <w:kern w:val="0"/>
                <w:sz w:val="22"/>
                <w:szCs w:val="22"/>
              </w:rPr>
              <w:t>企业</w:t>
            </w:r>
          </w:p>
        </w:tc>
        <w:tc>
          <w:tcPr>
            <w:tcW w:w="691" w:type="dxa"/>
            <w:tcBorders>
              <w:top w:val="nil"/>
              <w:left w:val="nil"/>
              <w:bottom w:val="single" w:color="auto" w:sz="8" w:space="0"/>
              <w:right w:val="single" w:color="auto" w:sz="8" w:space="0"/>
            </w:tcBorders>
            <w:tcMar>
              <w:left w:w="108" w:type="dxa"/>
              <w:right w:w="108" w:type="dxa"/>
            </w:tcMar>
            <w:vAlign w:val="center"/>
          </w:tcPr>
          <w:p>
            <w:pPr>
              <w:widowControl/>
              <w:jc w:val="center"/>
              <w:rPr>
                <w:rFonts w:eastAsia="方正仿宋_GBK"/>
                <w:color w:val="000000"/>
                <w:sz w:val="40"/>
                <w:szCs w:val="40"/>
              </w:rPr>
            </w:pPr>
            <w:r>
              <w:rPr>
                <w:rFonts w:hint="eastAsia" w:ascii="宋体" w:hAnsi="宋体" w:eastAsia="宋体" w:cs="宋体"/>
                <w:color w:val="000000"/>
                <w:kern w:val="0"/>
                <w:sz w:val="22"/>
                <w:szCs w:val="22"/>
              </w:rPr>
              <w:t>科研</w:t>
            </w:r>
          </w:p>
          <w:p>
            <w:pPr>
              <w:widowControl/>
              <w:jc w:val="center"/>
              <w:rPr>
                <w:rFonts w:eastAsia="方正仿宋_GBK"/>
                <w:color w:val="000000"/>
                <w:sz w:val="40"/>
                <w:szCs w:val="40"/>
              </w:rPr>
            </w:pPr>
            <w:r>
              <w:rPr>
                <w:rFonts w:hint="eastAsia" w:ascii="宋体" w:hAnsi="宋体" w:eastAsia="宋体" w:cs="宋体"/>
                <w:color w:val="000000"/>
                <w:kern w:val="0"/>
                <w:sz w:val="22"/>
                <w:szCs w:val="22"/>
              </w:rPr>
              <w:t>机构</w:t>
            </w:r>
          </w:p>
        </w:tc>
        <w:tc>
          <w:tcPr>
            <w:tcW w:w="691"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eastAsia="方正仿宋_GBK"/>
                <w:color w:val="000000"/>
                <w:sz w:val="40"/>
                <w:szCs w:val="40"/>
              </w:rPr>
            </w:pPr>
            <w:r>
              <w:rPr>
                <w:rFonts w:hint="eastAsia" w:ascii="宋体" w:hAnsi="宋体" w:eastAsia="宋体" w:cs="宋体"/>
                <w:color w:val="000000"/>
                <w:kern w:val="0"/>
                <w:sz w:val="22"/>
                <w:szCs w:val="22"/>
              </w:rPr>
              <w:t>社会公益组织</w:t>
            </w:r>
          </w:p>
        </w:tc>
        <w:tc>
          <w:tcPr>
            <w:tcW w:w="691"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eastAsia="方正仿宋_GBK"/>
                <w:color w:val="000000"/>
                <w:sz w:val="40"/>
                <w:szCs w:val="40"/>
              </w:rPr>
            </w:pPr>
            <w:r>
              <w:rPr>
                <w:rFonts w:hint="eastAsia" w:ascii="宋体" w:hAnsi="宋体" w:eastAsia="宋体" w:cs="宋体"/>
                <w:color w:val="000000"/>
                <w:kern w:val="0"/>
                <w:sz w:val="22"/>
                <w:szCs w:val="22"/>
              </w:rPr>
              <w:t>法律服务机构</w:t>
            </w:r>
          </w:p>
        </w:tc>
        <w:tc>
          <w:tcPr>
            <w:tcW w:w="691"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color w:val="000000"/>
                <w:sz w:val="40"/>
                <w:szCs w:val="40"/>
              </w:rPr>
            </w:pPr>
            <w:r>
              <w:rPr>
                <w:rFonts w:hint="eastAsia" w:ascii="宋体" w:hAnsi="宋体" w:eastAsia="宋体" w:cs="宋体"/>
                <w:color w:val="000000"/>
                <w:kern w:val="0"/>
                <w:sz w:val="22"/>
                <w:szCs w:val="22"/>
              </w:rPr>
              <w:t>其他</w:t>
            </w:r>
          </w:p>
        </w:tc>
        <w:tc>
          <w:tcPr>
            <w:tcW w:w="691" w:type="dxa"/>
            <w:vMerge w:val="continue"/>
            <w:tcBorders>
              <w:top w:val="single" w:color="auto" w:sz="8" w:space="0"/>
              <w:left w:val="nil"/>
              <w:bottom w:val="outset" w:color="auto" w:sz="8" w:space="0"/>
              <w:right w:val="single" w:color="auto" w:sz="8" w:space="0"/>
            </w:tcBorders>
            <w:tcMar>
              <w:left w:w="108" w:type="dxa"/>
              <w:right w:w="108" w:type="dxa"/>
            </w:tcMar>
            <w:vAlign w:val="center"/>
          </w:tcPr>
          <w:p>
            <w:pPr>
              <w:rPr>
                <w:rFonts w:ascii="宋体"/>
                <w:color w:val="000000"/>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4954"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color w:val="000000"/>
                <w:sz w:val="40"/>
                <w:szCs w:val="40"/>
              </w:rPr>
            </w:pPr>
            <w:r>
              <w:rPr>
                <w:rFonts w:hint="eastAsia" w:ascii="宋体" w:hAnsi="宋体" w:eastAsia="宋体" w:cs="宋体"/>
                <w:color w:val="000000"/>
                <w:kern w:val="0"/>
                <w:sz w:val="22"/>
                <w:szCs w:val="22"/>
              </w:rPr>
              <w:t>一、本年新收政府信息公开申请数量</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1</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4954"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color w:val="000000"/>
                <w:sz w:val="40"/>
                <w:szCs w:val="40"/>
              </w:rPr>
            </w:pPr>
            <w:r>
              <w:rPr>
                <w:rFonts w:hint="eastAsia" w:ascii="宋体" w:hAnsi="宋体" w:eastAsia="宋体" w:cs="宋体"/>
                <w:color w:val="000000"/>
                <w:kern w:val="0"/>
                <w:sz w:val="22"/>
                <w:szCs w:val="22"/>
              </w:rPr>
              <w:t>二、上年结转政府信息公开申请数量</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restart"/>
            <w:tcBorders>
              <w:top w:val="nil"/>
              <w:left w:val="single" w:color="auto" w:sz="8" w:space="0"/>
              <w:bottom w:val="outset" w:color="auto" w:sz="8" w:space="0"/>
              <w:right w:val="single" w:color="auto" w:sz="8" w:space="0"/>
            </w:tcBorders>
            <w:tcMar>
              <w:left w:w="57" w:type="dxa"/>
              <w:right w:w="57" w:type="dxa"/>
            </w:tcMar>
            <w:vAlign w:val="center"/>
          </w:tcPr>
          <w:p>
            <w:pPr>
              <w:widowControl/>
              <w:jc w:val="left"/>
              <w:rPr>
                <w:rFonts w:eastAsia="方正仿宋_GBK"/>
                <w:color w:val="000000"/>
                <w:sz w:val="40"/>
                <w:szCs w:val="40"/>
              </w:rPr>
            </w:pPr>
            <w:r>
              <w:rPr>
                <w:rFonts w:hint="eastAsia" w:ascii="宋体" w:hAnsi="宋体" w:eastAsia="宋体" w:cs="宋体"/>
                <w:color w:val="000000"/>
                <w:kern w:val="0"/>
                <w:sz w:val="22"/>
                <w:szCs w:val="22"/>
              </w:rPr>
              <w:t>三、本年度办理结果</w:t>
            </w:r>
          </w:p>
        </w:tc>
        <w:tc>
          <w:tcPr>
            <w:tcW w:w="4183"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color w:val="000000"/>
                <w:sz w:val="40"/>
                <w:szCs w:val="40"/>
              </w:rPr>
            </w:pPr>
            <w:r>
              <w:rPr>
                <w:rFonts w:hint="eastAsia" w:ascii="宋体" w:hAnsi="宋体" w:eastAsia="宋体" w:cs="宋体"/>
                <w:color w:val="000000"/>
                <w:kern w:val="0"/>
                <w:sz w:val="22"/>
                <w:szCs w:val="22"/>
              </w:rPr>
              <w:t>（一）予以公开</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1</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single" w:color="auto" w:sz="8" w:space="0"/>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4183"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color w:val="000000"/>
                <w:sz w:val="40"/>
                <w:szCs w:val="40"/>
              </w:rPr>
            </w:pPr>
            <w:r>
              <w:rPr>
                <w:rFonts w:hint="eastAsia" w:ascii="宋体" w:hAnsi="宋体" w:eastAsia="宋体" w:cs="宋体"/>
                <w:color w:val="000000"/>
                <w:kern w:val="0"/>
                <w:sz w:val="22"/>
                <w:szCs w:val="22"/>
              </w:rPr>
              <w:t>（二）部分公开</w:t>
            </w:r>
            <w:r>
              <w:rPr>
                <w:rFonts w:hint="eastAsia" w:ascii="楷体" w:hAnsi="楷体" w:eastAsia="楷体" w:cs="楷体"/>
                <w:color w:val="000000"/>
                <w:kern w:val="0"/>
                <w:sz w:val="22"/>
                <w:szCs w:val="22"/>
              </w:rPr>
              <w:t>（区分处理的，只计这一情形，不计其他情形）</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ind w:firstLine="220" w:firstLineChars="100"/>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947"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rFonts w:eastAsia="方正仿宋_GBK"/>
                <w:color w:val="000000"/>
                <w:sz w:val="40"/>
                <w:szCs w:val="40"/>
              </w:rPr>
            </w:pPr>
            <w:r>
              <w:rPr>
                <w:rFonts w:hint="eastAsia" w:ascii="宋体" w:hAnsi="宋体" w:eastAsia="宋体" w:cs="宋体"/>
                <w:color w:val="000000"/>
                <w:kern w:val="0"/>
                <w:sz w:val="22"/>
                <w:szCs w:val="22"/>
              </w:rPr>
              <w:t>（三）不予公开</w:t>
            </w: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1</w:t>
            </w:r>
            <w:r>
              <w:rPr>
                <w:rFonts w:hint="eastAsia" w:ascii="宋体" w:hAnsi="宋体" w:eastAsia="宋体" w:cs="宋体"/>
                <w:color w:val="000000"/>
                <w:kern w:val="0"/>
                <w:sz w:val="22"/>
                <w:szCs w:val="22"/>
              </w:rPr>
              <w:t>.属于国家秘密</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single" w:color="auto" w:sz="8" w:space="0"/>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2</w:t>
            </w:r>
            <w:r>
              <w:rPr>
                <w:rFonts w:hint="eastAsia" w:ascii="宋体" w:hAnsi="宋体" w:eastAsia="宋体" w:cs="宋体"/>
                <w:color w:val="000000"/>
                <w:kern w:val="0"/>
                <w:sz w:val="22"/>
                <w:szCs w:val="22"/>
              </w:rPr>
              <w:t>.其他法律行政法规禁止公开</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3</w:t>
            </w:r>
            <w:r>
              <w:rPr>
                <w:rFonts w:hint="eastAsia" w:ascii="宋体" w:hAnsi="宋体" w:eastAsia="宋体" w:cs="宋体"/>
                <w:color w:val="000000"/>
                <w:kern w:val="0"/>
                <w:sz w:val="22"/>
                <w:szCs w:val="22"/>
              </w:rPr>
              <w:t>.危及“三安全一稳定”</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4</w:t>
            </w:r>
            <w:r>
              <w:rPr>
                <w:rFonts w:hint="eastAsia" w:ascii="宋体" w:hAnsi="宋体" w:eastAsia="宋体" w:cs="宋体"/>
                <w:color w:val="000000"/>
                <w:kern w:val="0"/>
                <w:sz w:val="22"/>
                <w:szCs w:val="22"/>
              </w:rPr>
              <w:t>.保护第三方合法权益</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5</w:t>
            </w:r>
            <w:r>
              <w:rPr>
                <w:rFonts w:hint="eastAsia" w:ascii="宋体" w:hAnsi="宋体" w:eastAsia="宋体" w:cs="宋体"/>
                <w:color w:val="000000"/>
                <w:kern w:val="0"/>
                <w:sz w:val="22"/>
                <w:szCs w:val="22"/>
              </w:rPr>
              <w:t>.属于三类内部事务信息</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6</w:t>
            </w:r>
            <w:r>
              <w:rPr>
                <w:rFonts w:hint="eastAsia" w:ascii="宋体" w:hAnsi="宋体" w:eastAsia="宋体" w:cs="宋体"/>
                <w:color w:val="000000"/>
                <w:kern w:val="0"/>
                <w:sz w:val="22"/>
                <w:szCs w:val="22"/>
              </w:rPr>
              <w:t>.属于四类过程性信息</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1</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7</w:t>
            </w:r>
            <w:r>
              <w:rPr>
                <w:rFonts w:hint="eastAsia" w:ascii="宋体" w:hAnsi="宋体" w:eastAsia="宋体" w:cs="宋体"/>
                <w:color w:val="000000"/>
                <w:kern w:val="0"/>
                <w:sz w:val="22"/>
                <w:szCs w:val="22"/>
              </w:rPr>
              <w:t>.属于行政执法案卷</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8</w:t>
            </w:r>
            <w:r>
              <w:rPr>
                <w:rFonts w:hint="eastAsia" w:ascii="宋体" w:hAnsi="宋体" w:eastAsia="宋体" w:cs="宋体"/>
                <w:color w:val="000000"/>
                <w:kern w:val="0"/>
                <w:sz w:val="22"/>
                <w:szCs w:val="22"/>
              </w:rPr>
              <w:t>.属于行政查询事项</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947"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rFonts w:eastAsia="方正仿宋_GBK"/>
                <w:color w:val="000000"/>
                <w:sz w:val="40"/>
                <w:szCs w:val="40"/>
              </w:rPr>
            </w:pPr>
            <w:r>
              <w:rPr>
                <w:rFonts w:hint="eastAsia" w:ascii="宋体" w:hAnsi="宋体" w:eastAsia="宋体" w:cs="宋体"/>
                <w:color w:val="000000"/>
                <w:kern w:val="0"/>
                <w:sz w:val="22"/>
                <w:szCs w:val="22"/>
              </w:rPr>
              <w:t>（四）无法提供</w:t>
            </w: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1</w:t>
            </w:r>
            <w:r>
              <w:rPr>
                <w:rFonts w:hint="eastAsia" w:ascii="宋体" w:hAnsi="宋体" w:eastAsia="宋体" w:cs="宋体"/>
                <w:color w:val="000000"/>
                <w:kern w:val="0"/>
                <w:sz w:val="22"/>
                <w:szCs w:val="22"/>
              </w:rPr>
              <w:t>.本机关不掌握相关政府信息</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2</w:t>
            </w:r>
            <w:r>
              <w:rPr>
                <w:rFonts w:hint="eastAsia" w:ascii="宋体" w:hAnsi="宋体" w:eastAsia="宋体" w:cs="宋体"/>
                <w:color w:val="000000"/>
                <w:kern w:val="0"/>
                <w:sz w:val="22"/>
                <w:szCs w:val="22"/>
              </w:rPr>
              <w:t>.没有现成信息需要另行制作</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3</w:t>
            </w:r>
            <w:r>
              <w:rPr>
                <w:rFonts w:hint="eastAsia" w:ascii="宋体" w:hAnsi="宋体" w:eastAsia="宋体" w:cs="宋体"/>
                <w:color w:val="000000"/>
                <w:kern w:val="0"/>
                <w:sz w:val="22"/>
                <w:szCs w:val="22"/>
              </w:rPr>
              <w:t>.补正后申请内容仍不明确</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947"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rFonts w:eastAsia="方正仿宋_GBK"/>
                <w:color w:val="000000"/>
                <w:sz w:val="40"/>
                <w:szCs w:val="40"/>
              </w:rPr>
            </w:pPr>
            <w:r>
              <w:rPr>
                <w:rFonts w:hint="eastAsia" w:ascii="宋体" w:hAnsi="宋体" w:eastAsia="宋体" w:cs="宋体"/>
                <w:color w:val="000000"/>
                <w:kern w:val="0"/>
                <w:sz w:val="22"/>
                <w:szCs w:val="22"/>
              </w:rPr>
              <w:t>（五）不予处理</w:t>
            </w: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1</w:t>
            </w:r>
            <w:r>
              <w:rPr>
                <w:rFonts w:hint="eastAsia" w:ascii="宋体" w:hAnsi="宋体" w:eastAsia="宋体" w:cs="宋体"/>
                <w:color w:val="000000"/>
                <w:kern w:val="0"/>
                <w:sz w:val="22"/>
                <w:szCs w:val="22"/>
              </w:rPr>
              <w:t>.信访举报投诉类申请</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2</w:t>
            </w:r>
            <w:r>
              <w:rPr>
                <w:rFonts w:hint="eastAsia" w:ascii="宋体" w:hAnsi="宋体" w:eastAsia="宋体" w:cs="宋体"/>
                <w:color w:val="000000"/>
                <w:kern w:val="0"/>
                <w:sz w:val="22"/>
                <w:szCs w:val="22"/>
              </w:rPr>
              <w:t>.重复申请</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3</w:t>
            </w:r>
            <w:r>
              <w:rPr>
                <w:rFonts w:hint="eastAsia" w:ascii="宋体" w:hAnsi="宋体" w:eastAsia="宋体" w:cs="宋体"/>
                <w:color w:val="000000"/>
                <w:kern w:val="0"/>
                <w:sz w:val="22"/>
                <w:szCs w:val="22"/>
              </w:rPr>
              <w:t>.要求提供公开出版物</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tcPr>
          <w:p>
            <w:pPr>
              <w:widowControl/>
              <w:jc w:val="left"/>
              <w:rPr>
                <w:color w:val="000000"/>
                <w:sz w:val="40"/>
                <w:szCs w:val="40"/>
              </w:rPr>
            </w:pPr>
            <w:r>
              <w:rPr>
                <w:rFonts w:ascii="Times New Roman" w:eastAsia="宋体"/>
                <w:color w:val="000000"/>
                <w:kern w:val="0"/>
                <w:sz w:val="22"/>
                <w:szCs w:val="22"/>
              </w:rPr>
              <w:t>4</w:t>
            </w:r>
            <w:r>
              <w:rPr>
                <w:rFonts w:hint="eastAsia" w:ascii="宋体" w:hAnsi="宋体" w:eastAsia="宋体" w:cs="宋体"/>
                <w:color w:val="000000"/>
                <w:kern w:val="0"/>
                <w:sz w:val="22"/>
                <w:szCs w:val="22"/>
              </w:rPr>
              <w:t>.无正当理由大量反复申请</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29"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outset" w:color="auto" w:sz="8" w:space="0"/>
              <w:right w:val="single" w:color="auto" w:sz="8" w:space="0"/>
            </w:tcBorders>
            <w:tcMar>
              <w:left w:w="57" w:type="dxa"/>
              <w:right w:w="57" w:type="dxa"/>
            </w:tcMar>
            <w:vAlign w:val="center"/>
          </w:tcPr>
          <w:p>
            <w:pPr>
              <w:widowControl/>
              <w:rPr>
                <w:color w:val="000000"/>
                <w:sz w:val="40"/>
                <w:szCs w:val="40"/>
              </w:rPr>
            </w:pPr>
            <w:r>
              <w:rPr>
                <w:rFonts w:ascii="Times New Roman" w:eastAsia="宋体"/>
                <w:color w:val="000000"/>
                <w:kern w:val="0"/>
                <w:sz w:val="22"/>
                <w:szCs w:val="22"/>
              </w:rPr>
              <w:t>5</w:t>
            </w:r>
            <w:r>
              <w:rPr>
                <w:rFonts w:hint="eastAsia" w:ascii="宋体" w:hAnsi="宋体" w:eastAsia="宋体" w:cs="宋体"/>
                <w:color w:val="000000"/>
                <w:kern w:val="0"/>
                <w:sz w:val="22"/>
                <w:szCs w:val="22"/>
              </w:rPr>
              <w:t>.要求行政机关确认或重新出具已获取信息</w:t>
            </w:r>
          </w:p>
        </w:tc>
        <w:tc>
          <w:tcPr>
            <w:tcW w:w="691" w:type="dxa"/>
            <w:tcBorders>
              <w:top w:val="nil"/>
              <w:left w:val="nil"/>
              <w:bottom w:val="outset"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outset"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outset"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outset"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outset"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outset"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outset"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947" w:type="dxa"/>
            <w:vMerge w:val="restart"/>
            <w:tcBorders>
              <w:top w:val="outset" w:color="auto" w:sz="8" w:space="0"/>
              <w:left w:val="nil"/>
              <w:bottom w:val="outset" w:color="auto" w:sz="8" w:space="0"/>
              <w:right w:val="single" w:color="auto" w:sz="8" w:space="0"/>
            </w:tcBorders>
            <w:tcMar>
              <w:left w:w="57" w:type="dxa"/>
              <w:right w:w="57" w:type="dxa"/>
            </w:tcMar>
            <w:vAlign w:val="center"/>
          </w:tcPr>
          <w:p>
            <w:pPr>
              <w:widowControl/>
              <w:jc w:val="left"/>
              <w:rPr>
                <w:rFonts w:eastAsia="方正仿宋_GBK"/>
                <w:color w:val="000000"/>
                <w:sz w:val="40"/>
                <w:szCs w:val="40"/>
              </w:rPr>
            </w:pPr>
            <w:r>
              <w:rPr>
                <w:rFonts w:hint="eastAsia" w:ascii="宋体" w:hAnsi="宋体" w:eastAsia="宋体" w:cs="宋体"/>
                <w:color w:val="000000"/>
                <w:kern w:val="0"/>
                <w:sz w:val="22"/>
                <w:szCs w:val="22"/>
              </w:rPr>
              <w:t>（六）其他处理</w:t>
            </w:r>
          </w:p>
        </w:tc>
        <w:tc>
          <w:tcPr>
            <w:tcW w:w="3235" w:type="dxa"/>
            <w:tcBorders>
              <w:top w:val="nil"/>
              <w:left w:val="nil"/>
              <w:bottom w:val="single" w:color="auto" w:sz="8" w:space="0"/>
              <w:right w:val="single" w:color="auto" w:sz="8" w:space="0"/>
            </w:tcBorders>
            <w:tcMar>
              <w:left w:w="57" w:type="dxa"/>
              <w:right w:w="57" w:type="dxa"/>
            </w:tcMar>
            <w:vAlign w:val="center"/>
          </w:tcPr>
          <w:p>
            <w:pPr>
              <w:widowControl/>
              <w:rPr>
                <w:color w:val="000000"/>
                <w:sz w:val="40"/>
                <w:szCs w:val="40"/>
              </w:rPr>
            </w:pPr>
            <w:r>
              <w:rPr>
                <w:rFonts w:ascii="Times New Roman" w:eastAsia="宋体"/>
                <w:color w:val="000000"/>
                <w:kern w:val="0"/>
                <w:sz w:val="22"/>
                <w:szCs w:val="22"/>
              </w:rPr>
              <w:t>1</w:t>
            </w:r>
            <w:r>
              <w:rPr>
                <w:rFonts w:hint="eastAsia" w:ascii="宋体" w:hAnsi="宋体" w:eastAsia="宋体" w:cs="宋体"/>
                <w:color w:val="000000"/>
                <w:kern w:val="0"/>
                <w:sz w:val="22"/>
                <w:szCs w:val="22"/>
              </w:rPr>
              <w:t>.申请人无正当理由逾期不补正、行政机关不再处理其政府信息公开申请</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Calibri" w:hAnsi="Calibri" w:eastAsia="方正仿宋_GBK" w:cs="Calibri"/>
                <w:color w:val="000000"/>
                <w:kern w:val="0"/>
                <w:sz w:val="22"/>
                <w:szCs w:val="22"/>
              </w:rPr>
            </w:pPr>
          </w:p>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vAlign w:val="center"/>
          </w:tcPr>
          <w:p>
            <w:pPr>
              <w:widowControl/>
              <w:rPr>
                <w:color w:val="000000"/>
                <w:sz w:val="40"/>
                <w:szCs w:val="40"/>
              </w:rPr>
            </w:pPr>
            <w:r>
              <w:rPr>
                <w:rFonts w:ascii="Times New Roman" w:eastAsia="宋体"/>
                <w:color w:val="000000"/>
                <w:kern w:val="0"/>
                <w:sz w:val="22"/>
                <w:szCs w:val="22"/>
              </w:rPr>
              <w:t>2</w:t>
            </w:r>
            <w:r>
              <w:rPr>
                <w:rFonts w:hint="eastAsia" w:ascii="宋体" w:hAnsi="宋体" w:eastAsia="宋体" w:cs="宋体"/>
                <w:color w:val="000000"/>
                <w:kern w:val="0"/>
                <w:sz w:val="22"/>
                <w:szCs w:val="22"/>
              </w:rPr>
              <w:t>.申请人逾期未按收费通知要求缴纳费用、行政机关不再处理其政府信息公开申请</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Calibri" w:hAnsi="Calibri" w:eastAsia="方正仿宋_GBK" w:cs="Calibri"/>
                <w:color w:val="000000"/>
                <w:kern w:val="0"/>
                <w:sz w:val="22"/>
                <w:szCs w:val="22"/>
              </w:rPr>
            </w:pPr>
          </w:p>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color w:val="000000"/>
              </w:rPr>
            </w:pPr>
          </w:p>
        </w:tc>
        <w:tc>
          <w:tcPr>
            <w:tcW w:w="947"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3235" w:type="dxa"/>
            <w:tcBorders>
              <w:top w:val="nil"/>
              <w:left w:val="nil"/>
              <w:bottom w:val="single" w:color="auto" w:sz="8" w:space="0"/>
              <w:right w:val="single" w:color="auto" w:sz="8" w:space="0"/>
            </w:tcBorders>
            <w:tcMar>
              <w:left w:w="57" w:type="dxa"/>
              <w:right w:w="57" w:type="dxa"/>
            </w:tcMar>
            <w:vAlign w:val="center"/>
          </w:tcPr>
          <w:p>
            <w:pPr>
              <w:widowControl/>
              <w:jc w:val="left"/>
              <w:rPr>
                <w:color w:val="000000"/>
                <w:sz w:val="40"/>
                <w:szCs w:val="40"/>
              </w:rPr>
            </w:pPr>
            <w:r>
              <w:rPr>
                <w:rFonts w:ascii="Times New Roman" w:eastAsia="宋体"/>
                <w:color w:val="000000"/>
                <w:kern w:val="0"/>
                <w:sz w:val="22"/>
                <w:szCs w:val="22"/>
              </w:rPr>
              <w:t>3</w:t>
            </w:r>
            <w:r>
              <w:rPr>
                <w:rFonts w:hint="eastAsia" w:ascii="宋体" w:hAnsi="宋体" w:eastAsia="宋体" w:cs="宋体"/>
                <w:color w:val="000000"/>
                <w:kern w:val="0"/>
                <w:sz w:val="22"/>
                <w:szCs w:val="22"/>
              </w:rPr>
              <w:t>.其他</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3" w:hRule="atLeast"/>
          <w:jc w:val="center"/>
        </w:trPr>
        <w:tc>
          <w:tcPr>
            <w:tcW w:w="770"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eastAsia="方正仿宋_GBK"/>
                <w:color w:val="000000"/>
              </w:rPr>
            </w:pPr>
          </w:p>
        </w:tc>
        <w:tc>
          <w:tcPr>
            <w:tcW w:w="4183"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color w:val="000000"/>
                <w:sz w:val="40"/>
                <w:szCs w:val="40"/>
              </w:rPr>
            </w:pPr>
            <w:r>
              <w:rPr>
                <w:rFonts w:hint="eastAsia" w:ascii="宋体" w:hAnsi="宋体" w:eastAsia="宋体" w:cs="宋体"/>
                <w:color w:val="000000"/>
                <w:kern w:val="0"/>
                <w:sz w:val="22"/>
                <w:szCs w:val="22"/>
              </w:rPr>
              <w:t>（七）总计</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1</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widowControl/>
              <w:jc w:val="center"/>
              <w:rPr>
                <w:rFonts w:ascii="Times New Roman"/>
                <w:color w:val="000000"/>
                <w:sz w:val="40"/>
                <w:szCs w:val="40"/>
              </w:rPr>
            </w:pPr>
            <w:r>
              <w:rPr>
                <w:rFonts w:ascii="Times New Roman" w:eastAsia="方正仿宋_GBK"/>
                <w:color w:val="000000"/>
                <w:kern w:val="0"/>
                <w:sz w:val="22"/>
                <w:szCs w:val="22"/>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20" w:hRule="atLeast"/>
          <w:jc w:val="center"/>
        </w:trPr>
        <w:tc>
          <w:tcPr>
            <w:tcW w:w="4954"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color w:val="000000"/>
                <w:sz w:val="40"/>
                <w:szCs w:val="40"/>
              </w:rPr>
            </w:pPr>
            <w:r>
              <w:rPr>
                <w:rFonts w:hint="eastAsia" w:ascii="宋体" w:hAnsi="宋体" w:eastAsia="宋体" w:cs="宋体"/>
                <w:color w:val="000000"/>
                <w:kern w:val="0"/>
                <w:sz w:val="22"/>
                <w:szCs w:val="22"/>
              </w:rPr>
              <w:t>四、结转下年度继续办理</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Times New Roman"/>
                <w:color w:val="000000"/>
                <w:sz w:val="40"/>
                <w:szCs w:val="40"/>
              </w:rPr>
            </w:pPr>
            <w:r>
              <w:rPr>
                <w:rFonts w:ascii="Times New Roman" w:eastAsia="方正仿宋_GBK"/>
                <w:color w:val="000000"/>
                <w:kern w:val="0"/>
                <w:sz w:val="22"/>
                <w:szCs w:val="22"/>
              </w:rPr>
              <w:t>0</w:t>
            </w:r>
          </w:p>
        </w:tc>
        <w:tc>
          <w:tcPr>
            <w:tcW w:w="691" w:type="dxa"/>
            <w:tcBorders>
              <w:top w:val="nil"/>
              <w:left w:val="nil"/>
              <w:bottom w:val="single" w:color="auto" w:sz="8" w:space="0"/>
              <w:right w:val="single" w:color="auto" w:sz="8" w:space="0"/>
            </w:tcBorders>
            <w:tcMar>
              <w:left w:w="57" w:type="dxa"/>
              <w:right w:w="57" w:type="dxa"/>
            </w:tcMar>
          </w:tcPr>
          <w:p>
            <w:pPr>
              <w:ind w:firstLine="220" w:firstLineChars="100"/>
              <w:rPr>
                <w:rFonts w:ascii="Times New Roman" w:eastAsia="方正仿宋_GBK"/>
                <w:color w:val="000000"/>
                <w:sz w:val="22"/>
                <w:szCs w:val="22"/>
              </w:rPr>
            </w:pPr>
            <w:r>
              <w:rPr>
                <w:rFonts w:ascii="Times New Roman" w:eastAsia="方正仿宋_GBK"/>
                <w:color w:val="000000"/>
                <w:sz w:val="22"/>
                <w:szCs w:val="22"/>
              </w:rPr>
              <w:t>0</w:t>
            </w:r>
          </w:p>
        </w:tc>
      </w:tr>
    </w:tbl>
    <w:p>
      <w:pPr>
        <w:widowControl/>
        <w:shd w:val="clear" w:color="auto" w:fill="FFFFFF"/>
        <w:jc w:val="center"/>
        <w:rPr>
          <w:rFonts w:ascii="宋体" w:hAnsi="宋体" w:eastAsia="宋体" w:cs="宋体"/>
          <w:color w:val="000000"/>
          <w:sz w:val="24"/>
          <w:szCs w:val="24"/>
        </w:rPr>
      </w:pPr>
    </w:p>
    <w:p>
      <w:pPr>
        <w:pStyle w:val="5"/>
        <w:widowControl/>
        <w:shd w:val="clear" w:color="auto" w:fill="FFFFFF"/>
        <w:spacing w:before="0" w:beforeAutospacing="0" w:after="0" w:afterAutospacing="0"/>
        <w:ind w:firstLine="480" w:firstLineChars="150"/>
        <w:jc w:val="both"/>
        <w:rPr>
          <w:rFonts w:ascii="方正黑体_GBK" w:hAnsi="黑体" w:eastAsia="方正黑体_GBK" w:cs="宋体"/>
          <w:bCs/>
          <w:color w:val="000000"/>
          <w:sz w:val="32"/>
          <w:shd w:val="clear" w:color="auto" w:fill="FFFFFF"/>
        </w:rPr>
      </w:pPr>
      <w:r>
        <w:rPr>
          <w:rFonts w:hint="eastAsia" w:ascii="方正黑体_GBK" w:hAnsi="黑体" w:eastAsia="方正黑体_GBK" w:cs="宋体"/>
          <w:bCs/>
          <w:color w:val="000000"/>
          <w:sz w:val="32"/>
          <w:shd w:val="clear" w:color="auto" w:fill="FFFFFF"/>
        </w:rPr>
        <w:t>四、政府信息公开行政复议、行政诉讼情况</w:t>
      </w:r>
    </w:p>
    <w:p>
      <w:pPr>
        <w:widowControl/>
        <w:shd w:val="clear" w:color="auto" w:fill="FFFFFF"/>
        <w:jc w:val="center"/>
        <w:rPr>
          <w:rFonts w:ascii="宋体" w:hAnsi="宋体" w:eastAsia="宋体" w:cs="宋体"/>
          <w:color w:val="000000"/>
          <w:sz w:val="24"/>
          <w:szCs w:val="24"/>
        </w:rPr>
      </w:pPr>
    </w:p>
    <w:tbl>
      <w:tblPr>
        <w:tblStyle w:val="6"/>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宋体" w:hAnsi="宋体" w:eastAsia="宋体" w:cs="宋体"/>
                <w:color w:val="000000"/>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宋体" w:hAnsi="宋体" w:eastAsia="宋体" w:cs="宋体"/>
                <w:color w:val="000000"/>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olor w:val="000000"/>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eastAsia="方正仿宋_GBK"/>
                <w:color w:val="000000"/>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eastAsia="方正仿宋_GBK"/>
                <w:color w:val="000000"/>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color w:val="000000"/>
              </w:rP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eastAsia="方正仿宋_GBK"/>
                <w:color w:val="000000"/>
              </w:rPr>
            </w:pPr>
            <w:r>
              <w:rPr>
                <w:rFonts w:ascii="Times New Roman" w:eastAsia="黑体"/>
                <w:color w:val="000000"/>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color w:val="000000"/>
              </w:rPr>
            </w:pPr>
            <w:r>
              <w:rPr>
                <w:rFonts w:ascii="Times New Roman" w:eastAsia="黑体"/>
                <w:color w:val="000000"/>
                <w:kern w:val="0"/>
                <w:sz w:val="20"/>
                <w:szCs w:val="20"/>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rPr>
                <w:rFonts w:ascii="Times New Roman" w:eastAsia="方正仿宋_GBK"/>
                <w:color w:val="000000"/>
                <w:sz w:val="24"/>
                <w:szCs w:val="24"/>
              </w:rPr>
            </w:pPr>
            <w:r>
              <w:rPr>
                <w:rFonts w:ascii="Times New Roman" w:eastAsia="方正仿宋_GBK"/>
                <w:color w:val="000000"/>
                <w:sz w:val="24"/>
                <w:szCs w:val="24"/>
              </w:rPr>
              <w:t>0</w:t>
            </w:r>
          </w:p>
        </w:tc>
      </w:tr>
    </w:tbl>
    <w:p>
      <w:pPr>
        <w:widowControl/>
        <w:jc w:val="left"/>
        <w:rPr>
          <w:rFonts w:eastAsia="方正仿宋_GBK"/>
          <w:color w:val="000000"/>
        </w:rPr>
      </w:pPr>
    </w:p>
    <w:p>
      <w:pPr>
        <w:pStyle w:val="5"/>
        <w:widowControl/>
        <w:shd w:val="clear" w:color="auto" w:fill="FFFFFF"/>
        <w:spacing w:before="0" w:beforeAutospacing="0" w:after="0" w:afterAutospacing="0" w:line="590" w:lineRule="exact"/>
        <w:ind w:firstLine="640" w:firstLineChars="200"/>
        <w:jc w:val="both"/>
        <w:rPr>
          <w:rFonts w:ascii="方正黑体_GBK" w:hAnsi="黑体" w:eastAsia="方正黑体_GBK" w:cs="宋体"/>
          <w:bCs/>
          <w:color w:val="000000"/>
          <w:sz w:val="32"/>
          <w:shd w:val="clear" w:color="auto" w:fill="FFFFFF"/>
        </w:rPr>
      </w:pPr>
      <w:r>
        <w:rPr>
          <w:rFonts w:hint="eastAsia" w:ascii="方正黑体_GBK" w:hAnsi="黑体" w:eastAsia="方正黑体_GBK" w:cs="宋体"/>
          <w:bCs/>
          <w:color w:val="000000"/>
          <w:sz w:val="32"/>
          <w:shd w:val="clear" w:color="auto" w:fill="FFFFFF"/>
        </w:rPr>
        <w:t>五、存在的主要问题及改进情况</w:t>
      </w:r>
    </w:p>
    <w:p>
      <w:pPr>
        <w:pStyle w:val="5"/>
        <w:widowControl/>
        <w:shd w:val="clear" w:color="auto" w:fill="FFFFFF"/>
        <w:spacing w:before="0" w:beforeAutospacing="0" w:after="0" w:afterAutospacing="0" w:line="590" w:lineRule="exact"/>
        <w:ind w:firstLine="643" w:firstLineChars="200"/>
        <w:jc w:val="both"/>
        <w:rPr>
          <w:rFonts w:hint="eastAsia" w:hAnsi="宋体" w:eastAsia="方正仿宋_GBK" w:cs="宋体"/>
          <w:color w:val="000000"/>
          <w:sz w:val="32"/>
          <w:shd w:val="clear" w:color="auto" w:fill="FFFFFF"/>
        </w:rPr>
      </w:pPr>
      <w:r>
        <w:rPr>
          <w:rFonts w:hint="eastAsia" w:hAnsi="宋体" w:eastAsia="方正仿宋_GBK" w:cs="宋体"/>
          <w:b/>
          <w:bCs/>
          <w:color w:val="000000"/>
          <w:sz w:val="32"/>
          <w:shd w:val="clear" w:color="auto" w:fill="FFFFFF"/>
          <w:lang w:val="en-US" w:eastAsia="zh-CN"/>
        </w:rPr>
        <w:t>1</w:t>
      </w:r>
      <w:r>
        <w:rPr>
          <w:rFonts w:hint="eastAsia" w:hAnsi="宋体" w:eastAsia="方正仿宋_GBK" w:cs="宋体"/>
          <w:b/>
          <w:bCs/>
          <w:color w:val="000000"/>
          <w:sz w:val="32"/>
          <w:shd w:val="clear" w:color="auto" w:fill="FFFFFF"/>
        </w:rPr>
        <w:t>.改进情况：</w:t>
      </w:r>
      <w:r>
        <w:rPr>
          <w:rFonts w:hint="eastAsia" w:hAnsi="宋体" w:eastAsia="方正仿宋_GBK" w:cs="宋体"/>
          <w:color w:val="000000"/>
          <w:sz w:val="32"/>
          <w:shd w:val="clear" w:color="auto" w:fill="FFFFFF"/>
        </w:rPr>
        <w:t>针对存在的问题，桃岭乡本年度明确专人专岗负责此项工作</w:t>
      </w:r>
      <w:r>
        <w:rPr>
          <w:rFonts w:hint="eastAsia" w:hAnsi="宋体" w:eastAsia="方正仿宋_GBK" w:cs="宋体"/>
          <w:color w:val="000000"/>
          <w:sz w:val="32"/>
          <w:shd w:val="clear" w:color="auto" w:fill="FFFFFF"/>
          <w:lang w:eastAsia="zh-CN"/>
        </w:rPr>
        <w:t>，</w:t>
      </w:r>
      <w:r>
        <w:rPr>
          <w:rFonts w:hint="eastAsia" w:hAnsi="宋体" w:eastAsia="方正仿宋_GBK" w:cs="宋体"/>
          <w:color w:val="000000"/>
          <w:sz w:val="32"/>
          <w:shd w:val="clear" w:color="auto" w:fill="FFFFFF"/>
        </w:rPr>
        <w:t>对于应公布的内容清单化管理，加强统筹协调，从严审核把关，将信息公开与日常业务有机结合，</w:t>
      </w:r>
      <w:r>
        <w:rPr>
          <w:rFonts w:hint="eastAsia" w:hAnsi="宋体" w:eastAsia="方正仿宋_GBK" w:cs="宋体"/>
          <w:color w:val="000000"/>
          <w:sz w:val="32"/>
          <w:shd w:val="clear" w:color="auto" w:fill="FFFFFF"/>
          <w:lang w:val="en-US" w:eastAsia="zh-CN"/>
        </w:rPr>
        <w:t>有效</w:t>
      </w:r>
      <w:r>
        <w:rPr>
          <w:rFonts w:hint="eastAsia" w:hAnsi="宋体" w:eastAsia="方正仿宋_GBK" w:cs="宋体"/>
          <w:color w:val="000000"/>
          <w:sz w:val="32"/>
          <w:shd w:val="clear" w:color="auto" w:fill="FFFFFF"/>
        </w:rPr>
        <w:t>推动整体工作水平提升。</w:t>
      </w:r>
    </w:p>
    <w:p>
      <w:pPr>
        <w:pStyle w:val="5"/>
        <w:widowControl/>
        <w:shd w:val="clear" w:color="auto" w:fill="FFFFFF"/>
        <w:spacing w:before="0" w:beforeAutospacing="0" w:after="0" w:afterAutospacing="0" w:line="590" w:lineRule="exact"/>
        <w:ind w:firstLine="643" w:firstLineChars="200"/>
        <w:jc w:val="both"/>
        <w:rPr>
          <w:rFonts w:hAnsi="宋体" w:eastAsia="方正仿宋_GBK" w:cs="宋体"/>
          <w:color w:val="000000"/>
          <w:sz w:val="32"/>
          <w:shd w:val="clear" w:color="auto" w:fill="FFFFFF"/>
        </w:rPr>
      </w:pPr>
      <w:r>
        <w:rPr>
          <w:rFonts w:hint="eastAsia" w:ascii="Times New Roman" w:eastAsia="方正仿宋_GBK"/>
          <w:b/>
          <w:bCs/>
          <w:color w:val="000000"/>
          <w:sz w:val="32"/>
          <w:shd w:val="clear" w:color="auto" w:fill="FFFFFF"/>
          <w:lang w:val="en-US" w:eastAsia="zh-CN"/>
        </w:rPr>
        <w:t>2</w:t>
      </w:r>
      <w:r>
        <w:rPr>
          <w:rFonts w:hint="eastAsia" w:hAnsi="宋体" w:eastAsia="方正仿宋_GBK" w:cs="宋体"/>
          <w:b/>
          <w:bCs/>
          <w:color w:val="000000"/>
          <w:sz w:val="32"/>
          <w:shd w:val="clear" w:color="auto" w:fill="FFFFFF"/>
        </w:rPr>
        <w:t>.存在问题：</w:t>
      </w:r>
      <w:r>
        <w:rPr>
          <w:rFonts w:hint="eastAsia" w:hAnsi="宋体" w:eastAsia="方正仿宋_GBK" w:cs="宋体"/>
          <w:color w:val="000000"/>
          <w:sz w:val="32"/>
          <w:shd w:val="clear" w:color="auto" w:fill="FFFFFF"/>
        </w:rPr>
        <w:t>基层标准化规范化程度仍需提高，部分行政村线上公开信息不及时，将政务公开贯穿于政务运行全过程的机制仍需完善。在</w:t>
      </w:r>
      <w:r>
        <w:rPr>
          <w:rFonts w:ascii="Times New Roman" w:eastAsia="方正仿宋_GBK"/>
          <w:color w:val="000000"/>
          <w:sz w:val="32"/>
          <w:shd w:val="clear" w:color="auto" w:fill="FFFFFF"/>
        </w:rPr>
        <w:t>2022</w:t>
      </w:r>
      <w:r>
        <w:rPr>
          <w:rFonts w:hint="eastAsia" w:hAnsi="宋体" w:eastAsia="方正仿宋_GBK" w:cs="宋体"/>
          <w:color w:val="000000"/>
          <w:sz w:val="32"/>
          <w:shd w:val="clear" w:color="auto" w:fill="FFFFFF"/>
        </w:rPr>
        <w:t>年省、市、县修改目录指引后，及时掌握新要求，落实新标准上仍需加强。</w:t>
      </w:r>
    </w:p>
    <w:p>
      <w:pPr>
        <w:pStyle w:val="5"/>
        <w:widowControl/>
        <w:shd w:val="clear" w:color="auto" w:fill="FFFFFF"/>
        <w:spacing w:before="0" w:beforeAutospacing="0" w:after="0" w:afterAutospacing="0" w:line="590" w:lineRule="exact"/>
        <w:ind w:left="0" w:leftChars="0" w:rightChars="0" w:firstLine="643" w:firstLineChars="200"/>
        <w:jc w:val="both"/>
        <w:rPr>
          <w:rFonts w:hint="default" w:ascii="Times New Roman" w:hAnsi="Times New Roman" w:eastAsia="方正仿宋_GBK" w:cs="方正仿宋_GBK"/>
          <w:b w:val="0"/>
          <w:bCs w:val="0"/>
          <w:i w:val="0"/>
          <w:sz w:val="32"/>
          <w:szCs w:val="32"/>
          <w:lang w:val="en-US" w:eastAsia="zh-CN"/>
        </w:rPr>
      </w:pPr>
      <w:r>
        <w:rPr>
          <w:rFonts w:hint="eastAsia" w:ascii="Times New Roman" w:eastAsia="方正仿宋_GBK"/>
          <w:b/>
          <w:bCs/>
          <w:color w:val="000000"/>
          <w:sz w:val="32"/>
          <w:shd w:val="clear" w:color="auto" w:fill="FFFFFF"/>
          <w:lang w:val="en-US" w:eastAsia="zh-CN"/>
        </w:rPr>
        <w:t>3.下一步改进措施：</w:t>
      </w:r>
      <w:r>
        <w:rPr>
          <w:rFonts w:hint="eastAsia" w:ascii="Times New Roman" w:eastAsia="方正仿宋_GBK" w:cs="方正仿宋_GBK"/>
          <w:b/>
          <w:bCs/>
          <w:i w:val="0"/>
          <w:sz w:val="32"/>
          <w:szCs w:val="32"/>
          <w:lang w:val="en-US" w:eastAsia="zh-CN"/>
        </w:rPr>
        <w:t>一</w:t>
      </w:r>
      <w:r>
        <w:rPr>
          <w:rFonts w:hint="eastAsia" w:ascii="Times New Roman" w:hAnsi="Times New Roman" w:eastAsia="方正仿宋_GBK" w:cs="方正仿宋_GBK"/>
          <w:b/>
          <w:bCs/>
          <w:i w:val="0"/>
          <w:sz w:val="32"/>
          <w:szCs w:val="32"/>
          <w:lang w:val="en-US" w:eastAsia="zh-CN"/>
        </w:rPr>
        <w:t>是树牢公开意识</w:t>
      </w:r>
      <w:r>
        <w:rPr>
          <w:rFonts w:hint="eastAsia" w:ascii="Times New Roman" w:eastAsia="方正仿宋_GBK" w:cs="方正仿宋_GBK"/>
          <w:b/>
          <w:bCs/>
          <w:i w:val="0"/>
          <w:sz w:val="32"/>
          <w:szCs w:val="32"/>
          <w:lang w:val="en-US" w:eastAsia="zh-CN"/>
        </w:rPr>
        <w:t>，增强部门协同</w:t>
      </w:r>
      <w:r>
        <w:rPr>
          <w:rFonts w:hint="eastAsia" w:ascii="Times New Roman" w:hAnsi="Times New Roman" w:eastAsia="方正仿宋_GBK" w:cs="方正仿宋_GBK"/>
          <w:b/>
          <w:bCs/>
          <w:i w:val="0"/>
          <w:sz w:val="32"/>
          <w:szCs w:val="32"/>
          <w:lang w:val="en-US" w:eastAsia="zh-CN"/>
        </w:rPr>
        <w:t>。</w:t>
      </w:r>
      <w:r>
        <w:rPr>
          <w:rFonts w:hint="eastAsia" w:ascii="Times New Roman" w:eastAsia="方正仿宋_GBK" w:cs="方正仿宋_GBK"/>
          <w:b w:val="0"/>
          <w:bCs w:val="0"/>
          <w:i w:val="0"/>
          <w:sz w:val="32"/>
          <w:szCs w:val="32"/>
          <w:lang w:val="en-US" w:eastAsia="zh-CN"/>
        </w:rPr>
        <w:t>分解年度工作，明确各部门公开任务，</w:t>
      </w:r>
      <w:r>
        <w:rPr>
          <w:rFonts w:hint="eastAsia" w:ascii="Times New Roman" w:hAnsi="Times New Roman" w:eastAsia="方正仿宋_GBK" w:cs="方正仿宋_GBK"/>
          <w:b w:val="0"/>
          <w:bCs w:val="0"/>
          <w:i w:val="0"/>
          <w:sz w:val="32"/>
          <w:szCs w:val="32"/>
        </w:rPr>
        <w:t>将村务公开成效量化为乡村干部工作落实的评价指标，月度考评通报，季度兑现奖惩，切实增强全乡工作人员主动公开的意识。</w:t>
      </w:r>
      <w:r>
        <w:rPr>
          <w:rFonts w:hint="eastAsia" w:ascii="Times New Roman" w:eastAsia="方正仿宋_GBK" w:cs="方正仿宋_GBK"/>
          <w:b/>
          <w:bCs/>
          <w:i w:val="0"/>
          <w:sz w:val="32"/>
          <w:szCs w:val="32"/>
          <w:lang w:val="en-US" w:eastAsia="zh-CN"/>
        </w:rPr>
        <w:t>二</w:t>
      </w:r>
      <w:r>
        <w:rPr>
          <w:rFonts w:hint="eastAsia" w:ascii="Times New Roman" w:hAnsi="Times New Roman" w:eastAsia="方正仿宋_GBK" w:cs="方正仿宋_GBK"/>
          <w:b/>
          <w:bCs/>
          <w:i w:val="0"/>
          <w:sz w:val="32"/>
          <w:szCs w:val="32"/>
        </w:rPr>
        <w:t>是抓实反馈整改</w:t>
      </w:r>
      <w:r>
        <w:rPr>
          <w:rFonts w:hint="eastAsia" w:ascii="Times New Roman" w:eastAsia="方正仿宋_GBK" w:cs="方正仿宋_GBK"/>
          <w:b/>
          <w:bCs/>
          <w:i w:val="0"/>
          <w:sz w:val="32"/>
          <w:szCs w:val="32"/>
          <w:lang w:eastAsia="zh-CN"/>
        </w:rPr>
        <w:t>，</w:t>
      </w:r>
      <w:r>
        <w:rPr>
          <w:rFonts w:hint="eastAsia" w:ascii="Times New Roman" w:eastAsia="方正仿宋_GBK" w:cs="方正仿宋_GBK"/>
          <w:b/>
          <w:bCs/>
          <w:i w:val="0"/>
          <w:sz w:val="32"/>
          <w:szCs w:val="32"/>
          <w:lang w:val="en-US" w:eastAsia="zh-CN"/>
        </w:rPr>
        <w:t>提升公开质量</w:t>
      </w:r>
      <w:r>
        <w:rPr>
          <w:rFonts w:hint="eastAsia" w:ascii="Times New Roman" w:hAnsi="Times New Roman" w:eastAsia="方正仿宋_GBK" w:cs="方正仿宋_GBK"/>
          <w:b/>
          <w:bCs/>
          <w:i w:val="0"/>
          <w:sz w:val="32"/>
          <w:szCs w:val="32"/>
        </w:rPr>
        <w:t>。</w:t>
      </w:r>
      <w:r>
        <w:rPr>
          <w:rFonts w:hint="eastAsia" w:ascii="Times New Roman" w:eastAsia="方正仿宋_GBK" w:cs="方正仿宋_GBK"/>
          <w:b w:val="0"/>
          <w:bCs w:val="0"/>
          <w:i w:val="0"/>
          <w:sz w:val="32"/>
          <w:szCs w:val="32"/>
          <w:lang w:val="en-US" w:eastAsia="zh-CN"/>
        </w:rPr>
        <w:t>聚焦市、县反馈问题，</w:t>
      </w:r>
      <w:r>
        <w:rPr>
          <w:rFonts w:hint="eastAsia" w:ascii="Times New Roman" w:hAnsi="Times New Roman" w:eastAsia="方正仿宋_GBK" w:cs="方正仿宋_GBK"/>
          <w:b w:val="0"/>
          <w:bCs w:val="0"/>
          <w:i w:val="0"/>
          <w:sz w:val="32"/>
          <w:szCs w:val="32"/>
        </w:rPr>
        <w:t>高标准</w:t>
      </w:r>
      <w:r>
        <w:rPr>
          <w:rFonts w:hint="eastAsia" w:ascii="Times New Roman" w:eastAsia="方正仿宋_GBK" w:cs="方正仿宋_GBK"/>
          <w:b w:val="0"/>
          <w:bCs w:val="0"/>
          <w:i w:val="0"/>
          <w:sz w:val="32"/>
          <w:szCs w:val="32"/>
          <w:lang w:val="en-US" w:eastAsia="zh-CN"/>
        </w:rPr>
        <w:t>开展</w:t>
      </w:r>
      <w:r>
        <w:rPr>
          <w:rFonts w:hint="eastAsia" w:ascii="Times New Roman" w:hAnsi="Times New Roman" w:eastAsia="方正仿宋_GBK" w:cs="方正仿宋_GBK"/>
          <w:b w:val="0"/>
          <w:bCs w:val="0"/>
          <w:i w:val="0"/>
          <w:sz w:val="32"/>
          <w:szCs w:val="32"/>
        </w:rPr>
        <w:t>整改</w:t>
      </w:r>
      <w:r>
        <w:rPr>
          <w:rFonts w:hint="eastAsia" w:ascii="Times New Roman" w:eastAsia="方正仿宋_GBK" w:cs="方正仿宋_GBK"/>
          <w:b w:val="0"/>
          <w:bCs w:val="0"/>
          <w:i w:val="0"/>
          <w:sz w:val="32"/>
          <w:szCs w:val="32"/>
          <w:lang w:val="en-US" w:eastAsia="zh-CN"/>
        </w:rPr>
        <w:t>工作</w:t>
      </w:r>
      <w:r>
        <w:rPr>
          <w:rFonts w:hint="eastAsia" w:ascii="Times New Roman" w:hAnsi="Times New Roman" w:eastAsia="方正仿宋_GBK" w:cs="方正仿宋_GBK"/>
          <w:b w:val="0"/>
          <w:bCs w:val="0"/>
          <w:i w:val="0"/>
          <w:sz w:val="32"/>
          <w:szCs w:val="32"/>
        </w:rPr>
        <w:t>，做到</w:t>
      </w:r>
      <w:r>
        <w:rPr>
          <w:rFonts w:hint="eastAsia" w:ascii="Times New Roman" w:hAnsi="Times New Roman" w:eastAsia="方正仿宋_GBK" w:cs="方正仿宋_GBK"/>
          <w:b w:val="0"/>
          <w:i w:val="0"/>
          <w:sz w:val="32"/>
          <w:szCs w:val="32"/>
        </w:rPr>
        <w:t>见问题、见措施、见效果。</w:t>
      </w:r>
      <w:r>
        <w:rPr>
          <w:rFonts w:hint="eastAsia" w:ascii="Times New Roman" w:eastAsia="方正仿宋_GBK" w:cs="方正仿宋_GBK"/>
          <w:b/>
          <w:bCs/>
          <w:i w:val="0"/>
          <w:sz w:val="32"/>
          <w:szCs w:val="32"/>
          <w:lang w:val="en-US" w:eastAsia="zh-CN"/>
        </w:rPr>
        <w:t>三是落实工作要求，提高公开水平。</w:t>
      </w:r>
      <w:r>
        <w:rPr>
          <w:rFonts w:hint="eastAsia" w:ascii="Times New Roman" w:eastAsia="方正仿宋_GBK" w:cs="方正仿宋_GBK"/>
          <w:b w:val="0"/>
          <w:bCs w:val="0"/>
          <w:i w:val="0"/>
          <w:sz w:val="32"/>
          <w:szCs w:val="32"/>
          <w:lang w:val="en-US" w:eastAsia="zh-CN"/>
        </w:rPr>
        <w:t>对照重点工作清单，</w:t>
      </w:r>
      <w:r>
        <w:rPr>
          <w:rFonts w:hint="eastAsia" w:ascii="Times New Roman" w:hAnsi="Times New Roman" w:eastAsia="方正仿宋_GBK" w:cs="方正仿宋_GBK"/>
          <w:b w:val="0"/>
          <w:bCs w:val="0"/>
          <w:i w:val="0"/>
          <w:sz w:val="32"/>
          <w:szCs w:val="32"/>
        </w:rPr>
        <w:t>以图片、视频等形式，全方位提升解读水平</w:t>
      </w:r>
      <w:r>
        <w:rPr>
          <w:rFonts w:hint="eastAsia" w:ascii="Times New Roman" w:eastAsia="方正仿宋_GBK" w:cs="方正仿宋_GBK"/>
          <w:b w:val="0"/>
          <w:bCs w:val="0"/>
          <w:i w:val="0"/>
          <w:sz w:val="32"/>
          <w:szCs w:val="32"/>
          <w:lang w:eastAsia="zh-CN"/>
        </w:rPr>
        <w:t>，</w:t>
      </w:r>
      <w:r>
        <w:rPr>
          <w:rFonts w:hint="eastAsia" w:ascii="Times New Roman" w:eastAsia="方正仿宋_GBK" w:cs="方正仿宋_GBK"/>
          <w:b w:val="0"/>
          <w:bCs w:val="0"/>
          <w:i w:val="0"/>
          <w:sz w:val="32"/>
          <w:szCs w:val="32"/>
          <w:lang w:val="en-US" w:eastAsia="zh-CN"/>
        </w:rPr>
        <w:t>加大重点领域信息公开力度，高质量落实年度工作部署。</w:t>
      </w:r>
    </w:p>
    <w:p>
      <w:pPr>
        <w:widowControl/>
        <w:shd w:val="clear" w:color="auto" w:fill="FFFFFF"/>
        <w:spacing w:line="590" w:lineRule="exact"/>
        <w:ind w:firstLine="640" w:firstLineChars="200"/>
        <w:rPr>
          <w:rFonts w:ascii="方正黑体_GBK" w:hAnsi="仿宋" w:eastAsia="方正黑体_GBK" w:cs="宋体"/>
          <w:color w:val="000000"/>
          <w:kern w:val="0"/>
        </w:rPr>
      </w:pPr>
      <w:r>
        <w:rPr>
          <w:rFonts w:hint="eastAsia" w:ascii="方正黑体_GBK" w:hAnsi="黑体" w:eastAsia="方正黑体_GBK" w:cs="宋体"/>
          <w:bCs/>
          <w:color w:val="000000"/>
          <w:shd w:val="clear" w:color="auto" w:fill="FFFFFF"/>
        </w:rPr>
        <w:t>六、其他需要报告的事项</w:t>
      </w:r>
    </w:p>
    <w:p>
      <w:pPr>
        <w:pStyle w:val="5"/>
        <w:widowControl/>
        <w:shd w:val="clear" w:color="auto" w:fill="FFFFFF"/>
        <w:spacing w:before="0" w:beforeAutospacing="0" w:after="0" w:afterAutospacing="0" w:line="590" w:lineRule="exact"/>
        <w:ind w:firstLine="640" w:firstLineChars="200"/>
        <w:jc w:val="both"/>
        <w:rPr>
          <w:rFonts w:hAnsi="宋体" w:eastAsia="方正仿宋_GBK" w:cs="宋体"/>
          <w:color w:val="000000"/>
          <w:sz w:val="32"/>
          <w:shd w:val="clear" w:color="auto" w:fill="FFFFFF"/>
        </w:rPr>
      </w:pPr>
      <w:r>
        <w:rPr>
          <w:rFonts w:hint="eastAsia" w:hAnsi="宋体" w:eastAsia="方正仿宋_GBK" w:cs="宋体"/>
          <w:color w:val="000000"/>
          <w:sz w:val="32"/>
          <w:shd w:val="clear" w:color="auto" w:fill="FFFFFF"/>
        </w:rPr>
        <w:t>落实县级“结对互帮互学”制度，同结对乡镇共同学习，共同提升。严格对照县级制作的信息模板，按要素进行信息公开，保障信息发布质量。</w:t>
      </w:r>
    </w:p>
    <w:p>
      <w:pPr>
        <w:pStyle w:val="5"/>
        <w:widowControl/>
        <w:shd w:val="clear" w:color="auto" w:fill="FFFFFF"/>
        <w:spacing w:before="0" w:beforeAutospacing="0" w:after="0" w:afterAutospacing="0" w:line="590" w:lineRule="exact"/>
        <w:ind w:firstLine="640" w:firstLineChars="200"/>
        <w:jc w:val="both"/>
        <w:rPr>
          <w:rFonts w:hAnsi="宋体" w:eastAsia="方正仿宋_GBK" w:cs="宋体"/>
          <w:color w:val="000000"/>
          <w:sz w:val="32"/>
          <w:shd w:val="clear" w:color="auto" w:fill="FFFFFF"/>
        </w:rPr>
      </w:pPr>
      <w:r>
        <w:rPr>
          <w:rFonts w:hint="eastAsia" w:hAnsi="宋体" w:eastAsia="方正仿宋_GBK" w:cs="宋体"/>
          <w:color w:val="000000"/>
          <w:sz w:val="32"/>
          <w:shd w:val="clear" w:color="auto" w:fill="FFFFFF"/>
        </w:rPr>
        <w:t>按照《国务院办公厅关于印发〈政府信息公开信息处理费管理办法〉的通知》（国办函〔</w:t>
      </w:r>
      <w:r>
        <w:rPr>
          <w:rFonts w:ascii="Times New Roman" w:eastAsia="方正仿宋_GBK"/>
          <w:color w:val="000000"/>
          <w:sz w:val="32"/>
          <w:shd w:val="clear" w:color="auto" w:fill="FFFFFF"/>
        </w:rPr>
        <w:t>2020</w:t>
      </w:r>
      <w:r>
        <w:rPr>
          <w:rFonts w:hint="eastAsia" w:hAnsi="宋体" w:eastAsia="方正仿宋_GBK" w:cs="宋体"/>
          <w:color w:val="000000"/>
          <w:sz w:val="32"/>
          <w:shd w:val="clear" w:color="auto" w:fill="FFFFFF"/>
        </w:rPr>
        <w:t>〕</w:t>
      </w:r>
      <w:r>
        <w:rPr>
          <w:rFonts w:ascii="Times New Roman" w:eastAsia="方正仿宋_GBK"/>
          <w:color w:val="000000"/>
          <w:sz w:val="32"/>
          <w:shd w:val="clear" w:color="auto" w:fill="FFFFFF"/>
        </w:rPr>
        <w:t>109</w:t>
      </w:r>
      <w:r>
        <w:rPr>
          <w:rFonts w:hint="eastAsia" w:hAnsi="宋体" w:eastAsia="方正仿宋_GBK" w:cs="宋体"/>
          <w:color w:val="000000"/>
          <w:sz w:val="32"/>
          <w:shd w:val="clear" w:color="auto" w:fill="FFFFFF"/>
        </w:rPr>
        <w:t>号）规定的按件、按量收费标准，本年度没有产生信息公开处理费。</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4D6"/>
    <w:rsid w:val="00004A8B"/>
    <w:rsid w:val="00073276"/>
    <w:rsid w:val="00073CB2"/>
    <w:rsid w:val="0009373F"/>
    <w:rsid w:val="000B10E6"/>
    <w:rsid w:val="000E4891"/>
    <w:rsid w:val="000F1B01"/>
    <w:rsid w:val="000F51E3"/>
    <w:rsid w:val="00151A48"/>
    <w:rsid w:val="00171970"/>
    <w:rsid w:val="001D53C7"/>
    <w:rsid w:val="002004F9"/>
    <w:rsid w:val="0020479C"/>
    <w:rsid w:val="00220F30"/>
    <w:rsid w:val="0026320D"/>
    <w:rsid w:val="002C689E"/>
    <w:rsid w:val="00306C7D"/>
    <w:rsid w:val="00317FD1"/>
    <w:rsid w:val="00383B42"/>
    <w:rsid w:val="00392E31"/>
    <w:rsid w:val="003A3EB6"/>
    <w:rsid w:val="003B2098"/>
    <w:rsid w:val="003C3D3D"/>
    <w:rsid w:val="003C7E90"/>
    <w:rsid w:val="003D3EF9"/>
    <w:rsid w:val="003D5F4B"/>
    <w:rsid w:val="003F27BE"/>
    <w:rsid w:val="004172E8"/>
    <w:rsid w:val="00462DFD"/>
    <w:rsid w:val="00473D21"/>
    <w:rsid w:val="004B2DAD"/>
    <w:rsid w:val="004B53D8"/>
    <w:rsid w:val="004B61D8"/>
    <w:rsid w:val="004D57F0"/>
    <w:rsid w:val="004D728B"/>
    <w:rsid w:val="005106E1"/>
    <w:rsid w:val="00544003"/>
    <w:rsid w:val="00576652"/>
    <w:rsid w:val="00596512"/>
    <w:rsid w:val="005C63D0"/>
    <w:rsid w:val="006208BA"/>
    <w:rsid w:val="00627D1B"/>
    <w:rsid w:val="00630DDD"/>
    <w:rsid w:val="006478B4"/>
    <w:rsid w:val="00656022"/>
    <w:rsid w:val="00681475"/>
    <w:rsid w:val="0068264D"/>
    <w:rsid w:val="00696581"/>
    <w:rsid w:val="00696C17"/>
    <w:rsid w:val="00707885"/>
    <w:rsid w:val="0071673C"/>
    <w:rsid w:val="007410B4"/>
    <w:rsid w:val="007503D1"/>
    <w:rsid w:val="007A091B"/>
    <w:rsid w:val="007A17FF"/>
    <w:rsid w:val="007A709A"/>
    <w:rsid w:val="007A7DD0"/>
    <w:rsid w:val="007B34BF"/>
    <w:rsid w:val="007B7FF2"/>
    <w:rsid w:val="007D13FB"/>
    <w:rsid w:val="007F4D05"/>
    <w:rsid w:val="00821E78"/>
    <w:rsid w:val="00831CF3"/>
    <w:rsid w:val="0083283F"/>
    <w:rsid w:val="00837680"/>
    <w:rsid w:val="008418C9"/>
    <w:rsid w:val="008609B8"/>
    <w:rsid w:val="00885A13"/>
    <w:rsid w:val="008B67AF"/>
    <w:rsid w:val="008C300C"/>
    <w:rsid w:val="008D036C"/>
    <w:rsid w:val="00913646"/>
    <w:rsid w:val="00921D0A"/>
    <w:rsid w:val="009330C6"/>
    <w:rsid w:val="00937826"/>
    <w:rsid w:val="009379D4"/>
    <w:rsid w:val="00994C30"/>
    <w:rsid w:val="009B40D6"/>
    <w:rsid w:val="009D26CF"/>
    <w:rsid w:val="00A04F53"/>
    <w:rsid w:val="00A215A5"/>
    <w:rsid w:val="00A27692"/>
    <w:rsid w:val="00A30C6E"/>
    <w:rsid w:val="00A35C9C"/>
    <w:rsid w:val="00A54305"/>
    <w:rsid w:val="00A63416"/>
    <w:rsid w:val="00A66491"/>
    <w:rsid w:val="00AA1D86"/>
    <w:rsid w:val="00AA4C57"/>
    <w:rsid w:val="00AD008A"/>
    <w:rsid w:val="00AD5B4E"/>
    <w:rsid w:val="00AF4331"/>
    <w:rsid w:val="00B228F3"/>
    <w:rsid w:val="00B54375"/>
    <w:rsid w:val="00B91915"/>
    <w:rsid w:val="00BC5B2F"/>
    <w:rsid w:val="00BC5FAC"/>
    <w:rsid w:val="00C54173"/>
    <w:rsid w:val="00C86242"/>
    <w:rsid w:val="00CD66EF"/>
    <w:rsid w:val="00CF009D"/>
    <w:rsid w:val="00D05425"/>
    <w:rsid w:val="00D16461"/>
    <w:rsid w:val="00D45410"/>
    <w:rsid w:val="00D54AD2"/>
    <w:rsid w:val="00D6235A"/>
    <w:rsid w:val="00D64B72"/>
    <w:rsid w:val="00DA74DA"/>
    <w:rsid w:val="00DC7C0D"/>
    <w:rsid w:val="00DE6E4F"/>
    <w:rsid w:val="00E004D6"/>
    <w:rsid w:val="00E0127B"/>
    <w:rsid w:val="00E2791B"/>
    <w:rsid w:val="00E377D4"/>
    <w:rsid w:val="00E568F5"/>
    <w:rsid w:val="00E716F6"/>
    <w:rsid w:val="00E7287F"/>
    <w:rsid w:val="00E86915"/>
    <w:rsid w:val="00EA5537"/>
    <w:rsid w:val="00EB457C"/>
    <w:rsid w:val="00EC07BF"/>
    <w:rsid w:val="00EE423B"/>
    <w:rsid w:val="00EF1A1A"/>
    <w:rsid w:val="00F00B44"/>
    <w:rsid w:val="00F048C0"/>
    <w:rsid w:val="00F22CA3"/>
    <w:rsid w:val="00F24234"/>
    <w:rsid w:val="00F24EC0"/>
    <w:rsid w:val="00F32A97"/>
    <w:rsid w:val="00F67472"/>
    <w:rsid w:val="00FB0E29"/>
    <w:rsid w:val="00FF44FB"/>
    <w:rsid w:val="03983BE3"/>
    <w:rsid w:val="172C3B77"/>
    <w:rsid w:val="457C7817"/>
    <w:rsid w:val="45E450BA"/>
    <w:rsid w:val="7B427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2"/>
    <w:basedOn w:val="1"/>
    <w:next w:val="1"/>
    <w:link w:val="8"/>
    <w:uiPriority w:val="0"/>
    <w:pPr>
      <w:spacing w:before="100" w:beforeAutospacing="1" w:after="100" w:afterAutospacing="1"/>
      <w:jc w:val="left"/>
      <w:outlineLvl w:val="1"/>
    </w:pPr>
    <w:rPr>
      <w:rFonts w:hint="eastAsia" w:ascii="宋体" w:hAnsi="宋体" w:eastAsia="宋体"/>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iPriority w:val="99"/>
    <w:pPr>
      <w:spacing w:before="100" w:beforeAutospacing="1" w:after="100" w:afterAutospacing="1"/>
      <w:jc w:val="left"/>
    </w:pPr>
    <w:rPr>
      <w:kern w:val="0"/>
      <w:sz w:val="24"/>
    </w:rPr>
  </w:style>
  <w:style w:type="character" w:customStyle="1" w:styleId="8">
    <w:name w:val="标题 2 字符"/>
    <w:basedOn w:val="7"/>
    <w:link w:val="2"/>
    <w:uiPriority w:val="0"/>
    <w:rPr>
      <w:rFonts w:ascii="宋体" w:hAnsi="宋体" w:eastAsia="宋体" w:cs="Times New Roman"/>
      <w:b/>
      <w:bCs/>
      <w:kern w:val="0"/>
      <w:sz w:val="36"/>
      <w:szCs w:val="36"/>
    </w:rPr>
  </w:style>
  <w:style w:type="character" w:customStyle="1" w:styleId="9">
    <w:name w:val="页眉 字符"/>
    <w:basedOn w:val="7"/>
    <w:link w:val="4"/>
    <w:uiPriority w:val="99"/>
    <w:rPr>
      <w:sz w:val="18"/>
      <w:szCs w:val="18"/>
    </w:rPr>
  </w:style>
  <w:style w:type="character" w:customStyle="1" w:styleId="10">
    <w:name w:val="页脚 字符"/>
    <w:basedOn w:val="7"/>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F2AC4-1C59-4594-8475-D7344248686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2508</Words>
  <Characters>2648</Characters>
  <Lines>315</Lines>
  <Paragraphs>342</Paragraphs>
  <TotalTime>8</TotalTime>
  <ScaleCrop>false</ScaleCrop>
  <LinksUpToDate>false</LinksUpToDate>
  <CharactersWithSpaces>2648</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2023-01-04T07:36:00Z</dcterms:created>
  <dc:creator>璜</dc:creator>
  <cp:lastModifiedBy>白小黑</cp:lastModifiedBy>
  <dcterms:modified xsi:type="dcterms:W3CDTF">2024-02-21T00:56:57Z</dcterms:modifi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9FADABFBD626474798D87D890BEC119E</vt:lpwstr>
  </property>
</Properties>
</file>