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金寨县市场监督管理局</w:t>
      </w:r>
      <w:r>
        <w:rPr>
          <w:rFonts w:hint="default" w:ascii="Times New Roman" w:hAnsi="Times New Roman" w:eastAsia="方正小标宋_GBK" w:cs="Times New Roman"/>
          <w:b/>
          <w:bCs/>
          <w:sz w:val="44"/>
          <w:szCs w:val="44"/>
        </w:rPr>
        <w:t>2022</w:t>
      </w:r>
      <w:r>
        <w:rPr>
          <w:rFonts w:hint="eastAsia" w:ascii="方正小标宋_GBK" w:hAnsi="方正小标宋_GBK" w:eastAsia="方正小标宋_GBK" w:cs="方正小标宋_GBK"/>
          <w:sz w:val="44"/>
          <w:szCs w:val="44"/>
        </w:rPr>
        <w:t>年政府信息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公开工作年度报告</w:t>
      </w:r>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本报告依据《中华人民共和国政府信息公开条例》（国务院令第</w:t>
      </w:r>
      <w:r>
        <w:rPr>
          <w:rFonts w:hint="default" w:ascii="Times New Roman" w:hAnsi="Times New Roman" w:eastAsia="方正仿宋_GBK" w:cs="Times New Roman"/>
          <w:sz w:val="32"/>
          <w:szCs w:val="32"/>
        </w:rPr>
        <w:t>711</w:t>
      </w:r>
      <w:r>
        <w:rPr>
          <w:rFonts w:hint="eastAsia" w:ascii="方正仿宋_GBK" w:hAnsi="方正仿宋_GBK" w:eastAsia="方正仿宋_GBK" w:cs="方正仿宋_GBK"/>
          <w:sz w:val="32"/>
          <w:szCs w:val="32"/>
        </w:rPr>
        <w:t>号，以下简称新《条例》）、《金寨县政务公开办公室关于做好</w:t>
      </w:r>
      <w:r>
        <w:rPr>
          <w:rFonts w:hint="default" w:ascii="Times New Roman" w:hAnsi="Times New Roman" w:eastAsia="方正仿宋_GBK" w:cs="Times New Roman"/>
          <w:sz w:val="32"/>
          <w:szCs w:val="32"/>
        </w:rPr>
        <w:t>2022</w:t>
      </w:r>
      <w:r>
        <w:rPr>
          <w:rFonts w:hint="eastAsia" w:ascii="方正仿宋_GBK" w:hAnsi="方正仿宋_GBK" w:eastAsia="方正仿宋_GBK" w:cs="方正仿宋_GBK"/>
          <w:sz w:val="32"/>
          <w:szCs w:val="32"/>
        </w:rPr>
        <w:t>年度政府信息公开年度报告编制和发布工作的通知》（金政公开〔</w:t>
      </w:r>
      <w:r>
        <w:rPr>
          <w:rFonts w:hint="default" w:ascii="Times New Roman" w:hAnsi="Times New Roman" w:eastAsia="方正仿宋_GBK" w:cs="Times New Roman"/>
          <w:sz w:val="32"/>
          <w:szCs w:val="32"/>
        </w:rPr>
        <w:t>2023</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号）文件要求编制而成。报告主要包括：总体情况、行政机关主动公开政府信息情况、收到和处理政府信息公开申请情况、政府信息公开行政复议及行政诉讼情况、政府信息公开工作存在的主要问题及改进情况和其他需要报告的事项。本报告中使用数据统计期限为</w:t>
      </w:r>
      <w:r>
        <w:rPr>
          <w:rFonts w:hint="default" w:ascii="Times New Roman" w:hAnsi="Times New Roman" w:eastAsia="方正仿宋_GBK" w:cs="Times New Roman"/>
          <w:sz w:val="32"/>
          <w:szCs w:val="32"/>
        </w:rPr>
        <w:t>2022</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日至</w:t>
      </w:r>
      <w:r>
        <w:rPr>
          <w:rFonts w:hint="default" w:ascii="Times New Roman" w:hAnsi="Times New Roman" w:eastAsia="方正仿宋_GBK" w:cs="Times New Roman"/>
          <w:sz w:val="32"/>
          <w:szCs w:val="32"/>
        </w:rPr>
        <w:t>12</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31</w:t>
      </w:r>
      <w:r>
        <w:rPr>
          <w:rFonts w:hint="eastAsia" w:ascii="方正仿宋_GBK" w:hAnsi="方正仿宋_GBK" w:eastAsia="方正仿宋_GBK" w:cs="方正仿宋_GBK"/>
          <w:sz w:val="32"/>
          <w:szCs w:val="32"/>
        </w:rPr>
        <w:t>日，报告的电子版可在金寨县信息公开网（</w:t>
      </w:r>
      <w:r>
        <w:rPr>
          <w:rFonts w:hint="eastAsia" w:ascii="Times New Roman" w:hAnsi="Times New Roman" w:eastAsia="方正仿宋_GBK" w:cs="Times New Roman"/>
          <w:sz w:val="32"/>
          <w:szCs w:val="32"/>
        </w:rPr>
        <w:t>http://www.ahjinzhai.gov.cn/public/index.html</w:t>
      </w:r>
      <w:r>
        <w:rPr>
          <w:rFonts w:hint="eastAsia" w:ascii="方正仿宋_GBK" w:hAnsi="方正仿宋_GBK" w:eastAsia="方正仿宋_GBK" w:cs="方正仿宋_GBK"/>
          <w:sz w:val="32"/>
          <w:szCs w:val="32"/>
        </w:rPr>
        <w:t>）下载。如对本报告有任何疑问，请与金寨县市场监督管理局联系（地址：金寨县梅山镇史河路</w:t>
      </w:r>
      <w:r>
        <w:rPr>
          <w:rFonts w:hint="default" w:ascii="Times New Roman" w:hAnsi="Times New Roman" w:eastAsia="方正仿宋_GBK" w:cs="Times New Roman"/>
          <w:sz w:val="32"/>
          <w:szCs w:val="32"/>
        </w:rPr>
        <w:t>16</w:t>
      </w:r>
      <w:r>
        <w:rPr>
          <w:rFonts w:hint="eastAsia" w:ascii="方正仿宋_GBK" w:hAnsi="方正仿宋_GBK" w:eastAsia="方正仿宋_GBK" w:cs="方正仿宋_GBK"/>
          <w:sz w:val="32"/>
          <w:szCs w:val="32"/>
        </w:rPr>
        <w:t>号，电话：</w:t>
      </w:r>
      <w:r>
        <w:rPr>
          <w:rFonts w:hint="default" w:ascii="Times New Roman" w:hAnsi="Times New Roman" w:eastAsia="方正仿宋_GBK" w:cs="Times New Roman"/>
          <w:sz w:val="32"/>
          <w:szCs w:val="32"/>
        </w:rPr>
        <w:t>0564</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7062925</w:t>
      </w:r>
      <w:r>
        <w:rPr>
          <w:rFonts w:hint="eastAsia" w:ascii="方正仿宋_GBK" w:hAnsi="方正仿宋_GBK" w:eastAsia="方正仿宋_GBK" w:cs="方正仿宋_GBK"/>
          <w:sz w:val="32"/>
          <w:szCs w:val="32"/>
        </w:rPr>
        <w:t>，邮编：</w:t>
      </w:r>
      <w:r>
        <w:rPr>
          <w:rFonts w:hint="default" w:ascii="Times New Roman" w:hAnsi="Times New Roman" w:eastAsia="方正仿宋_GBK" w:cs="Times New Roman"/>
          <w:sz w:val="32"/>
          <w:szCs w:val="32"/>
        </w:rPr>
        <w:t>237300</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2022</w:t>
      </w:r>
      <w:r>
        <w:rPr>
          <w:rFonts w:hint="eastAsia" w:ascii="方正仿宋_GBK" w:hAnsi="方正仿宋_GBK" w:eastAsia="方正仿宋_GBK" w:cs="方正仿宋_GBK"/>
          <w:sz w:val="32"/>
          <w:szCs w:val="32"/>
        </w:rPr>
        <w:t>年，金寨县市场监管局紧紧围绕省、市、县政务公开工作部署和要求，严格落实信息公开工作责任，持续稳步推进政府信息公开工作，全年主动公开政府信息数共</w:t>
      </w:r>
      <w:r>
        <w:rPr>
          <w:rFonts w:hint="default" w:ascii="Times New Roman" w:hAnsi="Times New Roman" w:eastAsia="方正仿宋_GBK" w:cs="Times New Roman"/>
          <w:sz w:val="32"/>
          <w:szCs w:val="32"/>
        </w:rPr>
        <w:t>677</w:t>
      </w:r>
      <w:r>
        <w:rPr>
          <w:rFonts w:hint="eastAsia" w:ascii="方正仿宋_GBK" w:hAnsi="方正仿宋_GBK" w:eastAsia="方正仿宋_GBK" w:cs="方正仿宋_GBK"/>
          <w:sz w:val="32"/>
          <w:szCs w:val="32"/>
        </w:rPr>
        <w:t>条，更新发布政府重点领域信息</w:t>
      </w:r>
      <w:r>
        <w:rPr>
          <w:rFonts w:hint="default" w:ascii="Times New Roman" w:hAnsi="Times New Roman" w:eastAsia="方正仿宋_GBK" w:cs="Times New Roman"/>
          <w:sz w:val="32"/>
          <w:szCs w:val="32"/>
        </w:rPr>
        <w:t>216</w:t>
      </w:r>
      <w:r>
        <w:rPr>
          <w:rFonts w:hint="eastAsia" w:ascii="方正仿宋_GBK" w:hAnsi="方正仿宋_GBK" w:eastAsia="方正仿宋_GBK" w:cs="方正仿宋_GBK"/>
          <w:sz w:val="32"/>
          <w:szCs w:val="32"/>
        </w:rPr>
        <w:t>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（一）主动公开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rPr>
        <w:t>一是</w:t>
      </w:r>
      <w:r>
        <w:rPr>
          <w:rFonts w:hint="eastAsia" w:ascii="方正仿宋_GBK" w:hAnsi="方正仿宋_GBK" w:eastAsia="方正仿宋_GBK" w:cs="方正仿宋_GBK"/>
          <w:sz w:val="32"/>
          <w:szCs w:val="32"/>
        </w:rPr>
        <w:t>本部门主动公开行政许可、行政处罚、市场监管等信息</w:t>
      </w:r>
      <w:r>
        <w:rPr>
          <w:rFonts w:hint="default" w:ascii="Times New Roman" w:hAnsi="Times New Roman" w:eastAsia="方正仿宋_GBK" w:cs="Times New Roman"/>
          <w:sz w:val="32"/>
          <w:szCs w:val="32"/>
        </w:rPr>
        <w:t>400</w:t>
      </w:r>
      <w:r>
        <w:rPr>
          <w:rFonts w:hint="eastAsia" w:ascii="方正仿宋_GBK" w:hAnsi="方正仿宋_GBK" w:eastAsia="方正仿宋_GBK" w:cs="方正仿宋_GBK"/>
          <w:sz w:val="32"/>
          <w:szCs w:val="32"/>
        </w:rPr>
        <w:t>余条，召开新闻发布会一次，集中对</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件行政规范性文件进行集中整改，统一规范文件格式，集中整改网页及下载格式，行政规范性文件发布更加规范。二是加强基层政务公开规范化、标准化建设，完善食品药品重点领域信息，做到及时发布，接受监督。三是围绕市场监管规则、反垄断及反不正当竞争执法信息公开，发布工作动态</w:t>
      </w:r>
      <w:r>
        <w:rPr>
          <w:rFonts w:hint="default" w:ascii="Times New Roman" w:hAnsi="Times New Roman" w:eastAsia="方正仿宋_GBK" w:cs="Times New Roman"/>
          <w:sz w:val="32"/>
          <w:szCs w:val="32"/>
        </w:rPr>
        <w:t>135</w:t>
      </w:r>
      <w:r>
        <w:rPr>
          <w:rFonts w:hint="eastAsia" w:ascii="方正仿宋_GBK" w:hAnsi="方正仿宋_GBK" w:eastAsia="方正仿宋_GBK" w:cs="方正仿宋_GBK"/>
          <w:sz w:val="32"/>
          <w:szCs w:val="32"/>
        </w:rPr>
        <w:t>条，营造公平市场环境</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rPr>
        <w:t>（二）依申请公</w:t>
      </w:r>
      <w:r>
        <w:rPr>
          <w:rFonts w:hint="eastAsia" w:ascii="方正楷体_GBK" w:hAnsi="方正楷体_GBK" w:eastAsia="方正楷体_GBK" w:cs="方正楷体_GBK"/>
          <w:b/>
          <w:bCs/>
          <w:sz w:val="32"/>
          <w:szCs w:val="32"/>
          <w:lang w:eastAsia="zh-CN"/>
        </w:rPr>
        <w:t>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认真贯彻落实《金寨县政府信息依申请公开制度》，深入研究并妥善处理新情况、新问题，注意加强与申请人的主动沟通，做到依法有据、严谨规范、慎重稳妥。年度共受理线上依申请公开办件</w:t>
      </w:r>
      <w:r>
        <w:rPr>
          <w:rFonts w:hint="default" w:ascii="Times New Roman" w:hAnsi="Times New Roman" w:eastAsia="方正仿宋_GBK" w:cs="Times New Roman"/>
          <w:sz w:val="32"/>
          <w:szCs w:val="32"/>
        </w:rPr>
        <w:t>0</w:t>
      </w:r>
      <w:r>
        <w:rPr>
          <w:rFonts w:hint="eastAsia" w:ascii="方正仿宋_GBK" w:hAnsi="方正仿宋_GBK" w:eastAsia="方正仿宋_GBK" w:cs="方正仿宋_GBK"/>
          <w:sz w:val="32"/>
          <w:szCs w:val="32"/>
        </w:rPr>
        <w:t>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（三）政府信息管理情况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建立健全政务公开信息三审制度，按照“谁发布，谁审查”和“事前审查”的原则，确保政务公开信息的准确性、及时性。定期开展网站普查和专项排查，重点排查重大错别字和泄漏隐私等信息。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（四）平台建设情况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进一步增强政府信息公开平台栏目的科学性，加强平台建设和栏目管理，进一步做好县政府网站专题专栏维护，发挥好政务公开网为信息发布主平台的作用，做到准确、全面、及时发布市场监管有关信息。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（五）政府信息公开监督保障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2022</w:t>
      </w:r>
      <w:r>
        <w:rPr>
          <w:rFonts w:hint="eastAsia" w:ascii="方正仿宋_GBK" w:hAnsi="方正仿宋_GBK" w:eastAsia="方正仿宋_GBK" w:cs="方正仿宋_GBK"/>
          <w:sz w:val="32"/>
          <w:szCs w:val="32"/>
        </w:rPr>
        <w:t>年，我局根据局领导班子成员分工调整等人事调整情况，及时调整政府信息公开工作领导小组，明确局办公室为办理政府信息公开事务的责任机构。加强监测反馈整改，每季度对照监测结果及时反馈整改，并将整改报告和整改清单在监督保障栏目公开。</w:t>
      </w:r>
    </w:p>
    <w:p>
      <w:pPr>
        <w:pStyle w:val="4"/>
        <w:widowControl/>
        <w:shd w:val="clear" w:color="auto" w:fill="FFFFFF"/>
        <w:spacing w:before="0" w:beforeAutospacing="0" w:after="0" w:afterAutospacing="0"/>
        <w:ind w:firstLine="640" w:firstLineChars="200"/>
        <w:jc w:val="both"/>
        <w:rPr>
          <w:rFonts w:ascii="方正黑体_GBK" w:hAnsi="方正黑体_GBK" w:eastAsia="方正黑体_GBK" w:cs="方正黑体_GBK"/>
          <w:bCs/>
          <w:sz w:val="32"/>
        </w:rPr>
      </w:pPr>
      <w:r>
        <w:rPr>
          <w:rFonts w:hint="eastAsia" w:ascii="方正黑体_GBK" w:hAnsi="方正黑体_GBK" w:eastAsia="方正黑体_GBK" w:cs="方正黑体_GBK"/>
          <w:bCs/>
          <w:sz w:val="32"/>
        </w:rPr>
        <w:t>二、主动公</w:t>
      </w:r>
      <w:r>
        <w:rPr>
          <w:rFonts w:hint="eastAsia" w:ascii="方正黑体_GBK" w:hAnsi="方正黑体_GBK" w:eastAsia="方正黑体_GBK" w:cs="方正黑体_GBK"/>
          <w:kern w:val="2"/>
          <w:sz w:val="32"/>
          <w:szCs w:val="32"/>
          <w:lang w:val="en-US" w:eastAsia="zh-CN" w:bidi="ar-SA"/>
        </w:rPr>
        <w:t>开政府信</w:t>
      </w:r>
      <w:r>
        <w:rPr>
          <w:rFonts w:hint="eastAsia" w:ascii="方正黑体_GBK" w:hAnsi="方正黑体_GBK" w:eastAsia="方正黑体_GBK" w:cs="方正黑体_GBK"/>
          <w:bCs/>
          <w:sz w:val="32"/>
        </w:rPr>
        <w:t>息情况</w:t>
      </w:r>
    </w:p>
    <w:tbl>
      <w:tblPr>
        <w:tblStyle w:val="2"/>
        <w:tblW w:w="0" w:type="auto"/>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ascii="仿宋_GB2312" w:hAnsi="Times New Roman" w:eastAsia="仿宋_GB2312" w:cs="Times New Roman"/>
                <w:sz w:val="32"/>
                <w:szCs w:val="32"/>
              </w:rPr>
            </w:pPr>
            <w:r>
              <w:rPr>
                <w:rFonts w:hint="eastAsia" w:ascii="宋体" w:hAnsi="宋体" w:eastAsia="宋体" w:cs="宋体"/>
                <w:kern w:val="0"/>
                <w:sz w:val="20"/>
                <w:szCs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eastAsia" w:ascii="宋体" w:hAnsi="宋体" w:eastAsia="宋体" w:cs="宋体"/>
                <w:kern w:val="0"/>
                <w:sz w:val="20"/>
                <w:szCs w:val="20"/>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eastAsia" w:ascii="宋体" w:hAnsi="宋体" w:eastAsia="宋体" w:cs="宋体"/>
                <w:kern w:val="0"/>
                <w:sz w:val="20"/>
                <w:szCs w:val="20"/>
              </w:rPr>
              <w:t>本年制发件数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eastAsia" w:ascii="宋体" w:hAnsi="宋体" w:eastAsia="宋体" w:cs="宋体"/>
                <w:kern w:val="0"/>
                <w:sz w:val="20"/>
                <w:szCs w:val="20"/>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eastAsia" w:ascii="宋体" w:hAnsi="宋体" w:eastAsia="宋体" w:cs="宋体"/>
                <w:kern w:val="0"/>
                <w:sz w:val="20"/>
                <w:szCs w:val="20"/>
              </w:rPr>
              <w:t>现行有效件数</w:t>
            </w:r>
          </w:p>
        </w:tc>
      </w:tr>
      <w:tr>
        <w:tblPrEx>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cs="宋体"/>
                <w:kern w:val="0"/>
                <w:sz w:val="20"/>
                <w:szCs w:val="20"/>
              </w:rPr>
            </w:pPr>
            <w:r>
              <w:rPr>
                <w:rFonts w:hint="default" w:ascii="Times New Roman" w:hAnsi="Times New Roman" w:eastAsia="宋体" w:cs="Times New Roman"/>
                <w:kern w:val="0"/>
                <w:sz w:val="20"/>
                <w:szCs w:val="20"/>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cs="宋体"/>
                <w:kern w:val="0"/>
                <w:sz w:val="20"/>
                <w:szCs w:val="20"/>
              </w:rPr>
            </w:pPr>
            <w:r>
              <w:rPr>
                <w:rFonts w:hint="default" w:ascii="Times New Roman" w:hAnsi="Times New Roman" w:eastAsia="宋体" w:cs="Times New Roman"/>
                <w:kern w:val="0"/>
                <w:sz w:val="20"/>
                <w:szCs w:val="20"/>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cs="宋体"/>
                <w:kern w:val="0"/>
                <w:sz w:val="20"/>
                <w:szCs w:val="20"/>
              </w:rPr>
            </w:pPr>
            <w:r>
              <w:rPr>
                <w:rFonts w:hint="default" w:ascii="Times New Roman" w:hAnsi="Times New Roman" w:eastAsia="宋体" w:cs="Times New Roman"/>
                <w:kern w:val="0"/>
                <w:sz w:val="20"/>
                <w:szCs w:val="20"/>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cs="宋体"/>
                <w:kern w:val="0"/>
                <w:sz w:val="20"/>
                <w:szCs w:val="20"/>
              </w:rPr>
            </w:pPr>
            <w:r>
              <w:rPr>
                <w:rFonts w:hint="default" w:ascii="Times New Roman" w:hAnsi="Times New Roman" w:eastAsia="宋体" w:cs="Times New Roman"/>
                <w:kern w:val="0"/>
                <w:sz w:val="20"/>
                <w:szCs w:val="20"/>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cs="宋体"/>
                <w:kern w:val="0"/>
                <w:sz w:val="20"/>
                <w:szCs w:val="20"/>
              </w:rPr>
            </w:pPr>
            <w:r>
              <w:rPr>
                <w:rFonts w:hint="default" w:ascii="Times New Roman" w:hAnsi="Times New Roman" w:eastAsia="宋体" w:cs="Times New Roman"/>
                <w:kern w:val="0"/>
                <w:sz w:val="20"/>
                <w:szCs w:val="20"/>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0"/>
                <w:sz w:val="20"/>
                <w:szCs w:val="20"/>
                <w:lang w:eastAsia="zh-CN"/>
              </w:rPr>
            </w:pPr>
            <w:r>
              <w:rPr>
                <w:rFonts w:hint="default" w:ascii="Times New Roman" w:hAnsi="Times New Roman" w:eastAsia="宋体" w:cs="Times New Roman"/>
                <w:kern w:val="0"/>
                <w:sz w:val="20"/>
                <w:szCs w:val="20"/>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ascii="仿宋_GB2312" w:hAnsi="Times New Roman" w:eastAsia="仿宋_GB2312" w:cs="Times New Roman"/>
                <w:sz w:val="32"/>
                <w:szCs w:val="32"/>
              </w:rPr>
            </w:pPr>
            <w:r>
              <w:rPr>
                <w:rFonts w:hint="eastAsia" w:ascii="宋体" w:hAnsi="宋体" w:eastAsia="宋体" w:cs="宋体"/>
                <w:kern w:val="0"/>
                <w:sz w:val="20"/>
                <w:szCs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eastAsia" w:ascii="宋体" w:hAnsi="宋体" w:eastAsia="宋体" w:cs="宋体"/>
                <w:kern w:val="0"/>
                <w:sz w:val="20"/>
                <w:szCs w:val="20"/>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eastAsia" w:ascii="宋体" w:hAnsi="宋体" w:eastAsia="宋体" w:cs="宋体"/>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sz w:val="32"/>
                <w:szCs w:val="32"/>
              </w:rPr>
            </w:pPr>
            <w:r>
              <w:rPr>
                <w:rFonts w:hint="eastAsia" w:ascii="宋体" w:hAnsi="宋体" w:eastAsia="宋体" w:cs="宋体"/>
                <w:kern w:val="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仿宋_GB2312" w:hAnsi="Times New Roman" w:eastAsia="仿宋_GB2312" w:cs="Times New Roman"/>
                <w:sz w:val="32"/>
                <w:szCs w:val="32"/>
                <w:lang w:val="en-US" w:eastAsia="zh-CN"/>
              </w:rPr>
            </w:pPr>
            <w:r>
              <w:rPr>
                <w:rFonts w:hint="default" w:ascii="Times New Roman" w:hAnsi="Times New Roman" w:eastAsia="宋体" w:cs="Times New Roman"/>
                <w:kern w:val="0"/>
                <w:sz w:val="20"/>
                <w:szCs w:val="20"/>
                <w:lang w:val="en-US" w:eastAsia="zh-CN"/>
              </w:rPr>
              <w:t>1783</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ascii="仿宋_GB2312" w:hAnsi="Times New Roman" w:eastAsia="仿宋_GB2312" w:cs="Times New Roman"/>
                <w:sz w:val="32"/>
                <w:szCs w:val="32"/>
              </w:rPr>
            </w:pPr>
            <w:r>
              <w:rPr>
                <w:rFonts w:hint="eastAsia" w:ascii="宋体" w:hAnsi="宋体" w:eastAsia="宋体" w:cs="宋体"/>
                <w:kern w:val="0"/>
                <w:sz w:val="20"/>
                <w:szCs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eastAsia" w:ascii="宋体" w:hAnsi="宋体" w:eastAsia="宋体" w:cs="宋体"/>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eastAsia" w:ascii="宋体" w:hAnsi="宋体" w:eastAsia="宋体" w:cs="宋体"/>
                <w:kern w:val="0"/>
                <w:sz w:val="20"/>
                <w:szCs w:val="20"/>
              </w:rPr>
              <w:t>本年处理决定数量</w:t>
            </w:r>
          </w:p>
        </w:tc>
      </w:tr>
      <w:tr>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宋体" w:hAnsi="宋体" w:eastAsia="宋体" w:cs="宋体"/>
                <w:kern w:val="0"/>
                <w:sz w:val="20"/>
                <w:szCs w:val="20"/>
                <w:lang w:val="en-US" w:eastAsia="zh-CN"/>
              </w:rPr>
            </w:pPr>
            <w:r>
              <w:rPr>
                <w:rFonts w:hint="default" w:ascii="Times New Roman" w:hAnsi="Times New Roman" w:eastAsia="宋体" w:cs="Times New Roman"/>
                <w:kern w:val="0"/>
                <w:sz w:val="20"/>
                <w:szCs w:val="20"/>
                <w:lang w:val="en-US" w:eastAsia="zh-CN"/>
              </w:rPr>
              <w:t>283</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宋体" w:hAnsi="宋体" w:eastAsia="宋体" w:cs="宋体"/>
                <w:kern w:val="0"/>
                <w:sz w:val="20"/>
                <w:szCs w:val="20"/>
                <w:lang w:val="en-US" w:eastAsia="zh-CN"/>
              </w:rPr>
            </w:pPr>
            <w:r>
              <w:rPr>
                <w:rFonts w:hint="default" w:ascii="Times New Roman" w:hAnsi="Times New Roman" w:eastAsia="宋体" w:cs="Times New Roman"/>
                <w:kern w:val="0"/>
                <w:sz w:val="20"/>
                <w:szCs w:val="20"/>
                <w:lang w:val="en-US" w:eastAsia="zh-CN"/>
              </w:rPr>
              <w:t>145</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ascii="仿宋_GB2312" w:hAnsi="Times New Roman" w:eastAsia="仿宋_GB2312" w:cs="Times New Roman"/>
                <w:sz w:val="32"/>
                <w:szCs w:val="32"/>
              </w:rPr>
            </w:pPr>
            <w:r>
              <w:rPr>
                <w:rFonts w:hint="eastAsia" w:ascii="宋体" w:hAnsi="宋体" w:eastAsia="宋体" w:cs="宋体"/>
                <w:kern w:val="0"/>
                <w:sz w:val="20"/>
                <w:szCs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eastAsia" w:ascii="宋体" w:hAnsi="宋体" w:eastAsia="宋体" w:cs="宋体"/>
                <w:kern w:val="0"/>
                <w:sz w:val="20"/>
                <w:szCs w:val="20"/>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eastAsia" w:ascii="宋体" w:hAnsi="宋体" w:eastAsia="宋体" w:cs="宋体"/>
                <w:kern w:val="0"/>
                <w:sz w:val="20"/>
                <w:szCs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sz w:val="32"/>
                <w:szCs w:val="32"/>
              </w:rPr>
            </w:pPr>
            <w:r>
              <w:rPr>
                <w:rFonts w:hint="eastAsia" w:ascii="宋体" w:hAnsi="宋体" w:eastAsia="宋体" w:cs="宋体"/>
                <w:kern w:val="0"/>
                <w:sz w:val="20"/>
                <w:szCs w:val="20"/>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ascii="宋体" w:hAnsi="Times New Roman" w:eastAsia="仿宋_GB2312" w:cs="Times New Roman"/>
                <w:sz w:val="24"/>
                <w:szCs w:val="24"/>
              </w:rPr>
            </w:pPr>
            <w:r>
              <w:rPr>
                <w:rFonts w:hint="default" w:ascii="Times New Roman" w:hAnsi="Times New Roman" w:eastAsia="仿宋_GB2312" w:cs="Times New Roman"/>
                <w:sz w:val="24"/>
                <w:szCs w:val="24"/>
              </w:rPr>
              <w:t>0</w:t>
            </w:r>
          </w:p>
        </w:tc>
      </w:tr>
    </w:tbl>
    <w:p>
      <w:pPr>
        <w:pStyle w:val="4"/>
        <w:widowControl/>
        <w:shd w:val="clear" w:color="auto" w:fill="FFFFFF"/>
        <w:spacing w:before="0" w:beforeAutospacing="0" w:after="0" w:afterAutospacing="0"/>
        <w:ind w:firstLine="640" w:firstLineChars="200"/>
        <w:jc w:val="both"/>
        <w:rPr>
          <w:rFonts w:ascii="宋体" w:hAnsi="宋体" w:eastAsia="宋体" w:cs="宋体"/>
          <w:szCs w:val="24"/>
        </w:rPr>
      </w:pPr>
      <w:r>
        <w:rPr>
          <w:rFonts w:hint="eastAsia" w:ascii="方正黑体_GBK" w:hAnsi="方正黑体_GBK" w:eastAsia="方正黑体_GBK" w:cs="方正黑体_GBK"/>
          <w:bCs/>
          <w:sz w:val="32"/>
        </w:rPr>
        <w:t>三、收到和处理政府信息公开申请情况</w:t>
      </w:r>
    </w:p>
    <w:tbl>
      <w:tblPr>
        <w:tblStyle w:val="2"/>
        <w:tblW w:w="9745"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widowControl/>
              <w:jc w:val="left"/>
              <w:rPr>
                <w:rFonts w:ascii="仿宋_GB2312" w:hAnsi="Times New Roman" w:eastAsia="仿宋_GB2312" w:cs="Times New Roman"/>
                <w:sz w:val="32"/>
                <w:szCs w:val="32"/>
              </w:rPr>
            </w:pPr>
            <w:r>
              <w:rPr>
                <w:rFonts w:ascii="楷体" w:hAnsi="楷体" w:eastAsia="楷体" w:cs="楷体"/>
                <w:kern w:val="0"/>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eastAsia" w:ascii="宋体" w:hAnsi="宋体" w:eastAsia="宋体" w:cs="宋体"/>
                <w:kern w:val="0"/>
                <w:sz w:val="20"/>
                <w:szCs w:val="20"/>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rPr>
                <w:rFonts w:ascii="宋体" w:hAnsi="Times New Roman" w:eastAsia="仿宋_GB2312" w:cs="Times New Roman"/>
                <w:sz w:val="24"/>
                <w:szCs w:val="24"/>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eastAsia" w:ascii="宋体" w:hAnsi="宋体" w:eastAsia="宋体" w:cs="宋体"/>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sz w:val="32"/>
                <w:szCs w:val="32"/>
              </w:rPr>
            </w:pPr>
            <w:r>
              <w:rPr>
                <w:rFonts w:hint="eastAsia" w:ascii="宋体" w:hAnsi="宋体" w:eastAsia="宋体" w:cs="宋体"/>
                <w:kern w:val="0"/>
                <w:sz w:val="20"/>
                <w:szCs w:val="20"/>
              </w:rPr>
              <w:t>法人或其他组织</w:t>
            </w:r>
          </w:p>
        </w:tc>
        <w:tc>
          <w:tcPr>
            <w:tcW w:w="688" w:type="dxa"/>
            <w:vMerge w:val="restart"/>
            <w:tcBorders>
              <w:top w:val="single" w:color="auto" w:sz="8" w:space="0"/>
              <w:left w:val="nil"/>
              <w:bottom w:val="outset"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sz w:val="32"/>
                <w:szCs w:val="32"/>
              </w:rPr>
            </w:pPr>
            <w:r>
              <w:rPr>
                <w:rFonts w:hint="eastAsia" w:ascii="宋体" w:hAnsi="宋体" w:eastAsia="宋体" w:cs="宋体"/>
                <w:kern w:val="0"/>
                <w:sz w:val="20"/>
                <w:szCs w:val="20"/>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rPr>
                <w:rFonts w:ascii="宋体" w:hAnsi="Times New Roman" w:eastAsia="仿宋_GB2312" w:cs="Times New Roman"/>
                <w:sz w:val="24"/>
                <w:szCs w:val="24"/>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pPr>
              <w:rPr>
                <w:rFonts w:ascii="宋体" w:hAnsi="Times New Roman" w:eastAsia="仿宋_GB2312" w:cs="Times New Roman"/>
                <w:sz w:val="24"/>
                <w:szCs w:val="24"/>
              </w:rPr>
            </w:pPr>
          </w:p>
        </w:tc>
        <w:tc>
          <w:tcPr>
            <w:tcW w:w="688"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sz w:val="32"/>
                <w:szCs w:val="32"/>
              </w:rPr>
            </w:pPr>
            <w:r>
              <w:rPr>
                <w:rFonts w:hint="eastAsia" w:ascii="宋体" w:hAnsi="宋体" w:eastAsia="宋体" w:cs="宋体"/>
                <w:kern w:val="0"/>
                <w:sz w:val="20"/>
                <w:szCs w:val="20"/>
              </w:rPr>
              <w:t>商业</w:t>
            </w:r>
          </w:p>
          <w:p>
            <w:pPr>
              <w:widowControl/>
              <w:jc w:val="center"/>
              <w:rPr>
                <w:rFonts w:ascii="仿宋_GB2312" w:hAnsi="Times New Roman" w:eastAsia="仿宋_GB2312" w:cs="Times New Roman"/>
                <w:sz w:val="32"/>
                <w:szCs w:val="32"/>
              </w:rPr>
            </w:pPr>
            <w:r>
              <w:rPr>
                <w:rFonts w:hint="eastAsia" w:ascii="宋体" w:hAnsi="宋体" w:eastAsia="宋体" w:cs="宋体"/>
                <w:kern w:val="0"/>
                <w:sz w:val="20"/>
                <w:szCs w:val="20"/>
              </w:rPr>
              <w:t>企业</w:t>
            </w:r>
          </w:p>
        </w:tc>
        <w:tc>
          <w:tcPr>
            <w:tcW w:w="688"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sz w:val="32"/>
                <w:szCs w:val="32"/>
              </w:rPr>
            </w:pPr>
            <w:r>
              <w:rPr>
                <w:rFonts w:hint="eastAsia" w:ascii="宋体" w:hAnsi="宋体" w:eastAsia="宋体" w:cs="宋体"/>
                <w:kern w:val="0"/>
                <w:sz w:val="20"/>
                <w:szCs w:val="20"/>
              </w:rPr>
              <w:t>科研</w:t>
            </w:r>
          </w:p>
          <w:p>
            <w:pPr>
              <w:widowControl/>
              <w:jc w:val="center"/>
              <w:rPr>
                <w:rFonts w:ascii="仿宋_GB2312" w:hAnsi="Times New Roman" w:eastAsia="仿宋_GB2312" w:cs="Times New Roman"/>
                <w:sz w:val="32"/>
                <w:szCs w:val="32"/>
              </w:rPr>
            </w:pPr>
            <w:r>
              <w:rPr>
                <w:rFonts w:hint="eastAsia" w:ascii="宋体" w:hAnsi="宋体" w:eastAsia="宋体" w:cs="宋体"/>
                <w:kern w:val="0"/>
                <w:sz w:val="20"/>
                <w:szCs w:val="20"/>
              </w:rPr>
              <w:t>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sz w:val="32"/>
                <w:szCs w:val="32"/>
              </w:rPr>
            </w:pPr>
            <w:r>
              <w:rPr>
                <w:rFonts w:hint="eastAsia" w:ascii="宋体" w:hAnsi="宋体" w:eastAsia="宋体" w:cs="宋体"/>
                <w:kern w:val="0"/>
                <w:sz w:val="20"/>
                <w:szCs w:val="20"/>
              </w:rPr>
              <w:t>社会公益组织</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sz w:val="32"/>
                <w:szCs w:val="32"/>
              </w:rPr>
            </w:pPr>
            <w:r>
              <w:rPr>
                <w:rFonts w:hint="eastAsia" w:ascii="宋体" w:hAnsi="宋体" w:eastAsia="宋体" w:cs="宋体"/>
                <w:kern w:val="0"/>
                <w:sz w:val="20"/>
                <w:szCs w:val="20"/>
              </w:rPr>
              <w:t>法律服务机构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sz w:val="32"/>
                <w:szCs w:val="32"/>
              </w:rPr>
            </w:pPr>
            <w:r>
              <w:rPr>
                <w:rFonts w:hint="eastAsia" w:ascii="宋体" w:hAnsi="宋体" w:eastAsia="宋体" w:cs="宋体"/>
                <w:kern w:val="0"/>
                <w:sz w:val="20"/>
                <w:szCs w:val="20"/>
              </w:rPr>
              <w:t>其他</w:t>
            </w:r>
          </w:p>
        </w:tc>
        <w:tc>
          <w:tcPr>
            <w:tcW w:w="688" w:type="dxa"/>
            <w:vMerge w:val="continue"/>
            <w:tcBorders>
              <w:top w:val="single" w:color="auto" w:sz="8" w:space="0"/>
              <w:left w:val="nil"/>
              <w:bottom w:val="outset" w:color="auto" w:sz="8" w:space="0"/>
              <w:right w:val="single" w:color="auto" w:sz="8" w:space="0"/>
            </w:tcBorders>
            <w:tcMar>
              <w:left w:w="108" w:type="dxa"/>
              <w:right w:w="108" w:type="dxa"/>
            </w:tcMar>
            <w:vAlign w:val="center"/>
          </w:tcPr>
          <w:p>
            <w:pPr>
              <w:rPr>
                <w:rFonts w:ascii="宋体" w:hAnsi="Times New Roman" w:eastAsia="仿宋_GB2312" w:cs="Times New Roman"/>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97" w:hRule="atLeast"/>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sz w:val="32"/>
                <w:szCs w:val="32"/>
              </w:rPr>
            </w:pPr>
            <w:r>
              <w:rPr>
                <w:rFonts w:hint="eastAsia" w:ascii="宋体" w:hAnsi="宋体" w:eastAsia="宋体" w:cs="宋体"/>
                <w:kern w:val="0"/>
                <w:sz w:val="20"/>
                <w:szCs w:val="2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sz w:val="32"/>
                <w:szCs w:val="32"/>
              </w:rPr>
            </w:pPr>
            <w:r>
              <w:rPr>
                <w:rFonts w:hint="eastAsia" w:ascii="宋体" w:hAnsi="宋体" w:eastAsia="宋体" w:cs="宋体"/>
                <w:kern w:val="0"/>
                <w:sz w:val="20"/>
                <w:szCs w:val="20"/>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sz w:val="32"/>
                <w:szCs w:val="32"/>
              </w:rPr>
            </w:pPr>
            <w:r>
              <w:rPr>
                <w:rFonts w:hint="eastAsia" w:ascii="宋体" w:hAnsi="宋体" w:eastAsia="宋体" w:cs="宋体"/>
                <w:kern w:val="0"/>
                <w:sz w:val="20"/>
                <w:szCs w:val="20"/>
              </w:rPr>
              <w:t>三、本年度办理结果</w:t>
            </w:r>
          </w:p>
        </w:tc>
        <w:tc>
          <w:tcPr>
            <w:tcW w:w="4162" w:type="dxa"/>
            <w:gridSpan w:val="2"/>
            <w:tcBorders>
              <w:top w:val="nil"/>
              <w:left w:val="nil"/>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sz w:val="32"/>
                <w:szCs w:val="32"/>
              </w:rPr>
            </w:pPr>
            <w:r>
              <w:rPr>
                <w:rFonts w:hint="eastAsia" w:ascii="宋体" w:hAnsi="宋体" w:eastAsia="宋体" w:cs="宋体"/>
                <w:kern w:val="0"/>
                <w:sz w:val="20"/>
                <w:szCs w:val="20"/>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single" w:color="auto" w:sz="8" w:space="0"/>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sz w:val="32"/>
                <w:szCs w:val="32"/>
              </w:rPr>
            </w:pPr>
            <w:r>
              <w:rPr>
                <w:rFonts w:hint="eastAsia" w:ascii="宋体" w:hAnsi="宋体" w:eastAsia="宋体" w:cs="宋体"/>
                <w:kern w:val="0"/>
                <w:sz w:val="20"/>
                <w:szCs w:val="20"/>
              </w:rPr>
              <w:t>（二）部分公开</w:t>
            </w:r>
            <w:r>
              <w:rPr>
                <w:rFonts w:hint="eastAsia" w:ascii="楷体" w:hAnsi="楷体" w:eastAsia="楷体" w:cs="楷体"/>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sz w:val="32"/>
                <w:szCs w:val="32"/>
              </w:rPr>
            </w:pPr>
            <w:r>
              <w:rPr>
                <w:rFonts w:hint="eastAsia" w:ascii="宋体" w:hAnsi="宋体" w:eastAsia="宋体" w:cs="宋体"/>
                <w:kern w:val="0"/>
                <w:sz w:val="20"/>
                <w:szCs w:val="20"/>
              </w:rPr>
              <w:t>（三）不予公开</w:t>
            </w: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sz w:val="32"/>
                <w:szCs w:val="32"/>
              </w:rPr>
            </w:pPr>
            <w:r>
              <w:rPr>
                <w:rFonts w:hint="default" w:ascii="Times New Roman" w:hAnsi="Times New Roman" w:eastAsia="宋体" w:cs="Times New Roman"/>
                <w:kern w:val="0"/>
                <w:sz w:val="20"/>
                <w:szCs w:val="20"/>
              </w:rPr>
              <w:t>1</w:t>
            </w:r>
            <w:r>
              <w:rPr>
                <w:rFonts w:hint="eastAsia" w:ascii="宋体" w:hAnsi="宋体" w:eastAsia="宋体" w:cs="宋体"/>
                <w:kern w:val="0"/>
                <w:sz w:val="20"/>
                <w:szCs w:val="20"/>
              </w:rPr>
              <w:t>.属于国家秘密</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single" w:color="auto" w:sz="8" w:space="0"/>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sz w:val="32"/>
                <w:szCs w:val="32"/>
              </w:rPr>
            </w:pPr>
            <w:r>
              <w:rPr>
                <w:rFonts w:hint="default" w:ascii="Times New Roman" w:hAnsi="Times New Roman" w:eastAsia="宋体" w:cs="Times New Roman"/>
                <w:kern w:val="0"/>
                <w:sz w:val="20"/>
                <w:szCs w:val="20"/>
              </w:rPr>
              <w:t>2</w:t>
            </w:r>
            <w:r>
              <w:rPr>
                <w:rFonts w:hint="eastAsia" w:ascii="宋体" w:hAnsi="宋体" w:eastAsia="宋体" w:cs="宋体"/>
                <w:kern w:val="0"/>
                <w:sz w:val="20"/>
                <w:szCs w:val="20"/>
              </w:rPr>
              <w:t>.其他法律行政法规禁止公开</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宋体" w:cs="Times New Roman"/>
                <w:sz w:val="32"/>
                <w:szCs w:val="32"/>
              </w:rPr>
            </w:pPr>
            <w:r>
              <w:rPr>
                <w:rFonts w:hint="default" w:ascii="Times New Roman" w:hAnsi="Times New Roman" w:eastAsia="宋体" w:cs="Times New Roman"/>
                <w:kern w:val="0"/>
                <w:sz w:val="20"/>
                <w:szCs w:val="20"/>
              </w:rPr>
              <w:t>3</w:t>
            </w:r>
            <w:r>
              <w:rPr>
                <w:rFonts w:hint="eastAsia" w:ascii="宋体" w:hAnsi="宋体" w:eastAsia="宋体" w:cs="宋体"/>
                <w:kern w:val="0"/>
                <w:sz w:val="20"/>
                <w:szCs w:val="20"/>
              </w:rPr>
              <w:t>.危及“三安全一稳定”</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sz w:val="32"/>
                <w:szCs w:val="32"/>
              </w:rPr>
            </w:pPr>
            <w:r>
              <w:rPr>
                <w:rFonts w:hint="default" w:ascii="Times New Roman" w:hAnsi="Times New Roman" w:eastAsia="宋体" w:cs="Times New Roman"/>
                <w:kern w:val="0"/>
                <w:sz w:val="20"/>
                <w:szCs w:val="20"/>
              </w:rPr>
              <w:t>4</w:t>
            </w:r>
            <w:r>
              <w:rPr>
                <w:rFonts w:hint="eastAsia" w:ascii="宋体" w:hAnsi="宋体" w:eastAsia="宋体" w:cs="宋体"/>
                <w:kern w:val="0"/>
                <w:sz w:val="20"/>
                <w:szCs w:val="20"/>
              </w:rPr>
              <w:t>.保护第三方合法权益</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sz w:val="32"/>
                <w:szCs w:val="32"/>
              </w:rPr>
            </w:pPr>
            <w:r>
              <w:rPr>
                <w:rFonts w:hint="default" w:ascii="Times New Roman" w:hAnsi="Times New Roman" w:eastAsia="宋体" w:cs="Times New Roman"/>
                <w:kern w:val="0"/>
                <w:sz w:val="20"/>
                <w:szCs w:val="20"/>
              </w:rPr>
              <w:t>5</w:t>
            </w:r>
            <w:r>
              <w:rPr>
                <w:rFonts w:hint="eastAsia" w:ascii="宋体" w:hAnsi="宋体" w:eastAsia="宋体" w:cs="宋体"/>
                <w:kern w:val="0"/>
                <w:sz w:val="20"/>
                <w:szCs w:val="20"/>
              </w:rPr>
              <w:t>.属于三类内部事务信息</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sz w:val="32"/>
                <w:szCs w:val="32"/>
              </w:rPr>
            </w:pPr>
            <w:r>
              <w:rPr>
                <w:rFonts w:hint="default" w:ascii="Times New Roman" w:hAnsi="Times New Roman" w:eastAsia="宋体" w:cs="Times New Roman"/>
                <w:kern w:val="0"/>
                <w:sz w:val="20"/>
                <w:szCs w:val="20"/>
              </w:rPr>
              <w:t>6</w:t>
            </w:r>
            <w:r>
              <w:rPr>
                <w:rFonts w:hint="eastAsia" w:ascii="宋体" w:hAnsi="宋体" w:eastAsia="宋体" w:cs="宋体"/>
                <w:kern w:val="0"/>
                <w:sz w:val="20"/>
                <w:szCs w:val="20"/>
              </w:rPr>
              <w:t>.属于四类过程性信息</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sz w:val="32"/>
                <w:szCs w:val="32"/>
              </w:rPr>
            </w:pPr>
            <w:r>
              <w:rPr>
                <w:rFonts w:hint="default" w:ascii="Times New Roman" w:hAnsi="Times New Roman" w:eastAsia="宋体" w:cs="Times New Roman"/>
                <w:kern w:val="0"/>
                <w:sz w:val="20"/>
                <w:szCs w:val="20"/>
              </w:rPr>
              <w:t>7</w:t>
            </w:r>
            <w:r>
              <w:rPr>
                <w:rFonts w:hint="eastAsia" w:ascii="宋体" w:hAnsi="宋体" w:eastAsia="宋体" w:cs="宋体"/>
                <w:kern w:val="0"/>
                <w:sz w:val="20"/>
                <w:szCs w:val="20"/>
              </w:rPr>
              <w:t>.属于行政执法案卷</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sz w:val="32"/>
                <w:szCs w:val="32"/>
              </w:rPr>
            </w:pPr>
            <w:r>
              <w:rPr>
                <w:rFonts w:hint="default" w:ascii="Times New Roman" w:hAnsi="Times New Roman" w:eastAsia="宋体" w:cs="Times New Roman"/>
                <w:kern w:val="0"/>
                <w:sz w:val="20"/>
                <w:szCs w:val="20"/>
              </w:rPr>
              <w:t>8</w:t>
            </w:r>
            <w:r>
              <w:rPr>
                <w:rFonts w:hint="eastAsia" w:ascii="宋体" w:hAnsi="宋体" w:eastAsia="宋体" w:cs="宋体"/>
                <w:kern w:val="0"/>
                <w:sz w:val="20"/>
                <w:szCs w:val="20"/>
              </w:rPr>
              <w:t>.属于行政查询事项</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sz w:val="32"/>
                <w:szCs w:val="32"/>
              </w:rPr>
            </w:pPr>
            <w:r>
              <w:rPr>
                <w:rFonts w:hint="eastAsia" w:ascii="宋体" w:hAnsi="宋体" w:eastAsia="宋体" w:cs="宋体"/>
                <w:kern w:val="0"/>
                <w:sz w:val="20"/>
                <w:szCs w:val="20"/>
              </w:rPr>
              <w:t>（四）无法提供</w:t>
            </w: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sz w:val="32"/>
                <w:szCs w:val="32"/>
              </w:rPr>
            </w:pPr>
            <w:r>
              <w:rPr>
                <w:rFonts w:hint="default" w:ascii="Times New Roman" w:hAnsi="Times New Roman" w:eastAsia="宋体" w:cs="Times New Roman"/>
                <w:kern w:val="0"/>
                <w:sz w:val="20"/>
                <w:szCs w:val="20"/>
              </w:rPr>
              <w:t>1</w:t>
            </w:r>
            <w:r>
              <w:rPr>
                <w:rFonts w:hint="eastAsia" w:ascii="宋体" w:hAnsi="宋体" w:eastAsia="宋体" w:cs="宋体"/>
                <w:kern w:val="0"/>
                <w:sz w:val="20"/>
                <w:szCs w:val="20"/>
              </w:rPr>
              <w:t>.本机关不掌握相关政府信息</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sz w:val="32"/>
                <w:szCs w:val="32"/>
              </w:rPr>
            </w:pPr>
            <w:r>
              <w:rPr>
                <w:rFonts w:hint="default" w:ascii="Times New Roman" w:hAnsi="Times New Roman" w:eastAsia="宋体" w:cs="Times New Roman"/>
                <w:kern w:val="0"/>
                <w:sz w:val="20"/>
                <w:szCs w:val="20"/>
              </w:rPr>
              <w:t>2</w:t>
            </w:r>
            <w:r>
              <w:rPr>
                <w:rFonts w:hint="eastAsia" w:ascii="宋体" w:hAnsi="宋体" w:eastAsia="宋体" w:cs="宋体"/>
                <w:kern w:val="0"/>
                <w:sz w:val="20"/>
                <w:szCs w:val="20"/>
              </w:rPr>
              <w:t>.没有现成信息需要另行制作</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sz w:val="32"/>
                <w:szCs w:val="32"/>
              </w:rPr>
            </w:pPr>
            <w:r>
              <w:rPr>
                <w:rFonts w:hint="default" w:ascii="Times New Roman" w:hAnsi="Times New Roman" w:eastAsia="宋体" w:cs="Times New Roman"/>
                <w:kern w:val="0"/>
                <w:sz w:val="20"/>
                <w:szCs w:val="20"/>
              </w:rPr>
              <w:t>3</w:t>
            </w:r>
            <w:r>
              <w:rPr>
                <w:rFonts w:hint="eastAsia" w:ascii="宋体" w:hAnsi="宋体" w:eastAsia="宋体" w:cs="宋体"/>
                <w:kern w:val="0"/>
                <w:sz w:val="20"/>
                <w:szCs w:val="20"/>
              </w:rPr>
              <w:t>.补正后申请内容仍不明确</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sz w:val="32"/>
                <w:szCs w:val="32"/>
              </w:rPr>
            </w:pPr>
            <w:r>
              <w:rPr>
                <w:rFonts w:hint="eastAsia" w:ascii="宋体" w:hAnsi="宋体" w:eastAsia="宋体" w:cs="宋体"/>
                <w:kern w:val="0"/>
                <w:sz w:val="20"/>
                <w:szCs w:val="20"/>
              </w:rPr>
              <w:t>（五）不予处理</w:t>
            </w: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sz w:val="32"/>
                <w:szCs w:val="32"/>
              </w:rPr>
            </w:pPr>
            <w:r>
              <w:rPr>
                <w:rFonts w:hint="default" w:ascii="Times New Roman" w:hAnsi="Times New Roman" w:eastAsia="宋体" w:cs="Times New Roman"/>
                <w:kern w:val="0"/>
                <w:sz w:val="20"/>
                <w:szCs w:val="20"/>
              </w:rPr>
              <w:t>1</w:t>
            </w:r>
            <w:r>
              <w:rPr>
                <w:rFonts w:hint="eastAsia" w:ascii="宋体" w:hAnsi="宋体" w:eastAsia="宋体" w:cs="宋体"/>
                <w:kern w:val="0"/>
                <w:sz w:val="20"/>
                <w:szCs w:val="20"/>
              </w:rPr>
              <w:t>.信访举报投诉类申请</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sz w:val="32"/>
                <w:szCs w:val="32"/>
              </w:rPr>
            </w:pPr>
            <w:r>
              <w:rPr>
                <w:rFonts w:hint="default" w:ascii="Times New Roman" w:hAnsi="Times New Roman" w:eastAsia="宋体" w:cs="Times New Roman"/>
                <w:kern w:val="0"/>
                <w:sz w:val="20"/>
                <w:szCs w:val="20"/>
              </w:rPr>
              <w:t>2</w:t>
            </w:r>
            <w:r>
              <w:rPr>
                <w:rFonts w:hint="eastAsia" w:ascii="宋体" w:hAnsi="宋体" w:eastAsia="宋体" w:cs="宋体"/>
                <w:kern w:val="0"/>
                <w:sz w:val="20"/>
                <w:szCs w:val="20"/>
              </w:rPr>
              <w:t>.重复申请</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sz w:val="32"/>
                <w:szCs w:val="32"/>
              </w:rPr>
            </w:pPr>
            <w:r>
              <w:rPr>
                <w:rFonts w:hint="default" w:ascii="Times New Roman" w:hAnsi="Times New Roman" w:eastAsia="宋体" w:cs="Times New Roman"/>
                <w:kern w:val="0"/>
                <w:sz w:val="20"/>
                <w:szCs w:val="20"/>
              </w:rPr>
              <w:t>3</w:t>
            </w:r>
            <w:r>
              <w:rPr>
                <w:rFonts w:hint="eastAsia" w:ascii="宋体" w:hAnsi="宋体" w:eastAsia="宋体" w:cs="宋体"/>
                <w:kern w:val="0"/>
                <w:sz w:val="20"/>
                <w:szCs w:val="20"/>
              </w:rPr>
              <w:t>.要求提供公开出版物</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sz w:val="32"/>
                <w:szCs w:val="32"/>
              </w:rPr>
            </w:pPr>
            <w:r>
              <w:rPr>
                <w:rFonts w:hint="default" w:ascii="Times New Roman" w:hAnsi="Times New Roman" w:eastAsia="宋体" w:cs="Times New Roman"/>
                <w:kern w:val="0"/>
                <w:sz w:val="20"/>
                <w:szCs w:val="20"/>
              </w:rPr>
              <w:t>4</w:t>
            </w:r>
            <w:r>
              <w:rPr>
                <w:rFonts w:hint="eastAsia" w:ascii="宋体" w:hAnsi="宋体" w:eastAsia="宋体" w:cs="宋体"/>
                <w:kern w:val="0"/>
                <w:sz w:val="20"/>
                <w:szCs w:val="20"/>
              </w:rPr>
              <w:t>.无正当理由大量反复申请</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sz w:val="24"/>
                <w:szCs w:val="24"/>
              </w:rPr>
            </w:pPr>
          </w:p>
        </w:tc>
        <w:tc>
          <w:tcPr>
            <w:tcW w:w="3219" w:type="dxa"/>
            <w:tcBorders>
              <w:top w:val="nil"/>
              <w:left w:val="nil"/>
              <w:bottom w:val="outset" w:color="auto" w:sz="8" w:space="0"/>
              <w:right w:val="single" w:color="auto" w:sz="8" w:space="0"/>
            </w:tcBorders>
            <w:tcMar>
              <w:left w:w="57" w:type="dxa"/>
              <w:right w:w="57" w:type="dxa"/>
            </w:tcMar>
            <w:vAlign w:val="center"/>
          </w:tcPr>
          <w:p>
            <w:pPr>
              <w:widowControl/>
              <w:rPr>
                <w:rFonts w:ascii="仿宋_GB2312" w:hAnsi="Times New Roman" w:eastAsia="仿宋_GB2312" w:cs="Times New Roman"/>
                <w:sz w:val="32"/>
                <w:szCs w:val="32"/>
              </w:rPr>
            </w:pPr>
            <w:r>
              <w:rPr>
                <w:rFonts w:hint="default" w:ascii="Times New Roman" w:hAnsi="Times New Roman" w:eastAsia="宋体" w:cs="Times New Roman"/>
                <w:kern w:val="0"/>
                <w:sz w:val="20"/>
                <w:szCs w:val="20"/>
              </w:rPr>
              <w:t>5</w:t>
            </w:r>
            <w:r>
              <w:rPr>
                <w:rFonts w:hint="eastAsia" w:ascii="宋体" w:hAnsi="宋体" w:eastAsia="宋体" w:cs="宋体"/>
                <w:kern w:val="0"/>
                <w:sz w:val="20"/>
                <w:szCs w:val="20"/>
              </w:rPr>
              <w:t>.要求行政机关确认或重新出具已获取信息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outset"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outset"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outset"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outset"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outset"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outset"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sz w:val="24"/>
                <w:szCs w:val="24"/>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sz w:val="32"/>
                <w:szCs w:val="32"/>
              </w:rPr>
            </w:pPr>
            <w:r>
              <w:rPr>
                <w:rFonts w:hint="eastAsia" w:ascii="宋体" w:hAnsi="宋体" w:eastAsia="宋体" w:cs="宋体"/>
                <w:kern w:val="0"/>
                <w:sz w:val="20"/>
                <w:szCs w:val="20"/>
              </w:rPr>
              <w:t>（六）其他处理</w:t>
            </w:r>
          </w:p>
        </w:tc>
        <w:tc>
          <w:tcPr>
            <w:tcW w:w="3219" w:type="dxa"/>
            <w:tcBorders>
              <w:top w:val="nil"/>
              <w:left w:val="nil"/>
              <w:bottom w:val="single" w:color="auto" w:sz="8" w:space="0"/>
              <w:right w:val="single" w:color="auto" w:sz="8" w:space="0"/>
            </w:tcBorders>
            <w:tcMar>
              <w:left w:w="57" w:type="dxa"/>
              <w:right w:w="57" w:type="dxa"/>
            </w:tcMar>
            <w:vAlign w:val="center"/>
          </w:tcPr>
          <w:p>
            <w:pPr>
              <w:widowControl/>
              <w:rPr>
                <w:rFonts w:ascii="仿宋_GB2312" w:hAnsi="Times New Roman" w:eastAsia="仿宋_GB2312" w:cs="Times New Roman"/>
                <w:sz w:val="32"/>
                <w:szCs w:val="32"/>
              </w:rPr>
            </w:pPr>
            <w:r>
              <w:rPr>
                <w:rFonts w:hint="default" w:ascii="Times New Roman" w:hAnsi="Times New Roman" w:eastAsia="宋体" w:cs="Times New Roman"/>
                <w:kern w:val="0"/>
                <w:sz w:val="20"/>
                <w:szCs w:val="20"/>
              </w:rPr>
              <w:t>1</w:t>
            </w:r>
            <w:r>
              <w:rPr>
                <w:rFonts w:hint="eastAsia" w:ascii="宋体" w:hAnsi="宋体" w:eastAsia="宋体" w:cs="宋体"/>
                <w:kern w:val="0"/>
                <w:sz w:val="20"/>
                <w:szCs w:val="20"/>
              </w:rPr>
              <w:t>.申请人无正当理由逾期不补正、行政机关不再处理其政府信息公开申请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pPr>
              <w:widowControl/>
              <w:rPr>
                <w:rFonts w:ascii="仿宋_GB2312" w:hAnsi="Times New Roman" w:eastAsia="仿宋_GB2312" w:cs="Times New Roman"/>
                <w:sz w:val="32"/>
                <w:szCs w:val="32"/>
              </w:rPr>
            </w:pPr>
            <w:r>
              <w:rPr>
                <w:rFonts w:hint="default" w:ascii="Times New Roman" w:hAnsi="Times New Roman" w:eastAsia="宋体" w:cs="Times New Roman"/>
                <w:kern w:val="0"/>
                <w:sz w:val="20"/>
                <w:szCs w:val="20"/>
              </w:rPr>
              <w:t>2</w:t>
            </w:r>
            <w:r>
              <w:rPr>
                <w:rFonts w:hint="eastAsia" w:ascii="宋体" w:hAnsi="宋体" w:eastAsia="宋体" w:cs="宋体"/>
                <w:kern w:val="0"/>
                <w:sz w:val="20"/>
                <w:szCs w:val="20"/>
              </w:rPr>
              <w:t>.申请人逾期未按收费通知要求缴纳费用、行政机关不再处理其政府信息公开申请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sz w:val="32"/>
                <w:szCs w:val="32"/>
              </w:rPr>
            </w:pPr>
            <w:r>
              <w:rPr>
                <w:rFonts w:hint="default" w:ascii="Times New Roman" w:hAnsi="Times New Roman" w:eastAsia="宋体" w:cs="Times New Roman"/>
                <w:kern w:val="0"/>
                <w:sz w:val="20"/>
                <w:szCs w:val="20"/>
              </w:rPr>
              <w:t>3</w:t>
            </w:r>
            <w:r>
              <w:rPr>
                <w:rFonts w:hint="eastAsia" w:ascii="宋体" w:hAnsi="宋体" w:eastAsia="宋体" w:cs="宋体"/>
                <w:kern w:val="0"/>
                <w:sz w:val="20"/>
                <w:szCs w:val="20"/>
              </w:rPr>
              <w:t>.其他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sz w:val="32"/>
                <w:szCs w:val="32"/>
              </w:rPr>
            </w:pPr>
            <w:r>
              <w:rPr>
                <w:rFonts w:hint="eastAsia" w:ascii="宋体" w:hAnsi="宋体" w:eastAsia="宋体" w:cs="宋体"/>
                <w:kern w:val="0"/>
                <w:sz w:val="20"/>
                <w:szCs w:val="20"/>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sz w:val="32"/>
                <w:szCs w:val="32"/>
              </w:rPr>
            </w:pPr>
            <w:r>
              <w:rPr>
                <w:rFonts w:hint="eastAsia" w:ascii="宋体" w:hAnsi="宋体" w:eastAsia="宋体" w:cs="宋体"/>
                <w:kern w:val="0"/>
                <w:sz w:val="20"/>
                <w:szCs w:val="20"/>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jc w:val="center"/>
              <w:rPr>
                <w:rFonts w:ascii="宋体" w:hAnsi="Times New Roman" w:eastAsia="仿宋_GB2312" w:cs="Times New Roman"/>
                <w:sz w:val="24"/>
                <w:szCs w:val="24"/>
              </w:rPr>
            </w:pPr>
            <w:r>
              <w:rPr>
                <w:rFonts w:hint="default" w:ascii="Times New Roman" w:hAnsi="Times New Roman" w:eastAsia="仿宋_GB2312" w:cs="Times New Roman"/>
                <w:kern w:val="0"/>
                <w:sz w:val="20"/>
                <w:szCs w:val="20"/>
              </w:rPr>
              <w:t>0</w:t>
            </w:r>
          </w:p>
        </w:tc>
      </w:tr>
    </w:tbl>
    <w:p>
      <w:pPr>
        <w:pStyle w:val="4"/>
        <w:widowControl/>
        <w:shd w:val="clear" w:color="auto" w:fill="FFFFFF"/>
        <w:spacing w:before="0" w:beforeAutospacing="0" w:after="0" w:afterAutospacing="0"/>
        <w:ind w:firstLine="640" w:firstLineChars="200"/>
        <w:jc w:val="both"/>
        <w:rPr>
          <w:rFonts w:ascii="宋体" w:hAnsi="宋体" w:eastAsia="宋体" w:cs="宋体"/>
          <w:szCs w:val="24"/>
        </w:rPr>
      </w:pPr>
      <w:r>
        <w:rPr>
          <w:rFonts w:hint="eastAsia" w:ascii="方正黑体_GBK" w:hAnsi="方正黑体_GBK" w:eastAsia="方正黑体_GBK" w:cs="方正黑体_GBK"/>
          <w:bCs/>
          <w:sz w:val="32"/>
        </w:rPr>
        <w:t>四、政府信息公开行政复议、行政诉讼情况</w:t>
      </w:r>
    </w:p>
    <w:tbl>
      <w:tblPr>
        <w:tblStyle w:val="2"/>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sz w:val="32"/>
                <w:szCs w:val="32"/>
              </w:rPr>
            </w:pPr>
            <w:r>
              <w:rPr>
                <w:rFonts w:hint="eastAsia" w:ascii="宋体" w:hAnsi="宋体" w:eastAsia="宋体" w:cs="宋体"/>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sz w:val="32"/>
                <w:szCs w:val="32"/>
              </w:rPr>
            </w:pPr>
            <w:r>
              <w:rPr>
                <w:rFonts w:hint="eastAsia" w:ascii="宋体" w:hAnsi="宋体" w:eastAsia="宋体" w:cs="宋体"/>
                <w:kern w:val="0"/>
                <w:sz w:val="20"/>
                <w:szCs w:val="20"/>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sz w:val="32"/>
                <w:szCs w:val="32"/>
              </w:rPr>
            </w:pPr>
            <w:r>
              <w:rPr>
                <w:rFonts w:hint="eastAsia" w:ascii="宋体" w:hAnsi="宋体" w:eastAsia="宋体" w:cs="宋体"/>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w:t>
            </w:r>
          </w:p>
          <w:p>
            <w:pPr>
              <w:widowControl/>
              <w:jc w:val="center"/>
              <w:rPr>
                <w:rFonts w:ascii="仿宋_GB2312" w:hAnsi="Times New Roman" w:eastAsia="仿宋_GB2312" w:cs="Times New Roman"/>
                <w:sz w:val="32"/>
                <w:szCs w:val="32"/>
              </w:rPr>
            </w:pPr>
            <w:r>
              <w:rPr>
                <w:rFonts w:hint="eastAsia" w:ascii="宋体" w:hAnsi="宋体" w:eastAsia="宋体" w:cs="宋体"/>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w:t>
            </w:r>
          </w:p>
          <w:p>
            <w:pPr>
              <w:widowControl/>
              <w:jc w:val="center"/>
              <w:rPr>
                <w:rFonts w:ascii="仿宋_GB2312" w:hAnsi="Times New Roman" w:eastAsia="仿宋_GB2312" w:cs="Times New Roman"/>
                <w:sz w:val="32"/>
                <w:szCs w:val="32"/>
              </w:rPr>
            </w:pPr>
            <w:r>
              <w:rPr>
                <w:rFonts w:hint="eastAsia" w:ascii="宋体" w:hAnsi="宋体" w:eastAsia="宋体" w:cs="宋体"/>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尚未</w:t>
            </w:r>
          </w:p>
          <w:p>
            <w:pPr>
              <w:widowControl/>
              <w:jc w:val="center"/>
              <w:rPr>
                <w:rFonts w:ascii="仿宋_GB2312" w:hAnsi="Times New Roman" w:eastAsia="仿宋_GB2312" w:cs="Times New Roman"/>
                <w:sz w:val="32"/>
                <w:szCs w:val="32"/>
              </w:rPr>
            </w:pPr>
            <w:r>
              <w:rPr>
                <w:rFonts w:hint="eastAsia" w:ascii="宋体" w:hAnsi="宋体" w:eastAsia="宋体" w:cs="宋体"/>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sz w:val="32"/>
                <w:szCs w:val="32"/>
              </w:rPr>
            </w:pPr>
            <w:r>
              <w:rPr>
                <w:rFonts w:hint="eastAsia" w:ascii="宋体" w:hAnsi="宋体" w:eastAsia="宋体" w:cs="宋体"/>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sz w:val="32"/>
                <w:szCs w:val="32"/>
              </w:rPr>
            </w:pPr>
            <w:r>
              <w:rPr>
                <w:rFonts w:hint="eastAsia" w:ascii="宋体" w:hAnsi="宋体" w:eastAsia="宋体" w:cs="宋体"/>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sz w:val="32"/>
                <w:szCs w:val="32"/>
              </w:rPr>
            </w:pPr>
            <w:r>
              <w:rPr>
                <w:rFonts w:hint="eastAsia" w:ascii="宋体" w:hAnsi="宋体" w:eastAsia="宋体" w:cs="宋体"/>
                <w:kern w:val="0"/>
                <w:sz w:val="20"/>
                <w:szCs w:val="20"/>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hAnsi="Times New Roman" w:eastAsia="仿宋_GB2312" w:cs="Times New Roman"/>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hAnsi="Times New Roman" w:eastAsia="仿宋_GB2312" w:cs="Times New Roman"/>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hAnsi="Times New Roman" w:eastAsia="仿宋_GB2312" w:cs="Times New Roman"/>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hAnsi="Times New Roman" w:eastAsia="仿宋_GB2312" w:cs="Times New Roman"/>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hAnsi="Times New Roman" w:eastAsia="仿宋_GB2312" w:cs="Times New Roman"/>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w:t>
            </w:r>
          </w:p>
          <w:p>
            <w:pPr>
              <w:widowControl/>
              <w:jc w:val="center"/>
              <w:rPr>
                <w:rFonts w:ascii="仿宋_GB2312" w:hAnsi="Times New Roman" w:eastAsia="仿宋_GB2312" w:cs="Times New Roman"/>
                <w:sz w:val="32"/>
                <w:szCs w:val="32"/>
              </w:rPr>
            </w:pPr>
            <w:r>
              <w:rPr>
                <w:rFonts w:hint="eastAsia" w:ascii="宋体" w:hAnsi="宋体" w:eastAsia="宋体" w:cs="宋体"/>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w:t>
            </w:r>
          </w:p>
          <w:p>
            <w:pPr>
              <w:widowControl/>
              <w:jc w:val="center"/>
              <w:rPr>
                <w:rFonts w:ascii="仿宋_GB2312" w:hAnsi="Times New Roman" w:eastAsia="仿宋_GB2312" w:cs="Times New Roman"/>
                <w:sz w:val="32"/>
                <w:szCs w:val="32"/>
              </w:rPr>
            </w:pPr>
            <w:r>
              <w:rPr>
                <w:rFonts w:hint="eastAsia" w:ascii="宋体" w:hAnsi="宋体" w:eastAsia="宋体" w:cs="宋体"/>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w:t>
            </w:r>
          </w:p>
          <w:p>
            <w:pPr>
              <w:widowControl/>
              <w:jc w:val="center"/>
              <w:rPr>
                <w:rFonts w:ascii="仿宋_GB2312" w:hAnsi="Times New Roman" w:eastAsia="仿宋_GB2312" w:cs="Times New Roman"/>
                <w:sz w:val="32"/>
                <w:szCs w:val="32"/>
              </w:rPr>
            </w:pPr>
            <w:r>
              <w:rPr>
                <w:rFonts w:hint="eastAsia" w:ascii="宋体" w:hAnsi="宋体" w:eastAsia="宋体" w:cs="宋体"/>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尚未</w:t>
            </w:r>
          </w:p>
          <w:p>
            <w:pPr>
              <w:widowControl/>
              <w:jc w:val="center"/>
              <w:rPr>
                <w:rFonts w:ascii="仿宋_GB2312" w:hAnsi="Times New Roman" w:eastAsia="仿宋_GB2312" w:cs="Times New Roman"/>
                <w:sz w:val="32"/>
                <w:szCs w:val="32"/>
              </w:rPr>
            </w:pPr>
            <w:r>
              <w:rPr>
                <w:rFonts w:hint="eastAsia" w:ascii="宋体" w:hAnsi="宋体" w:eastAsia="宋体" w:cs="宋体"/>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sz w:val="32"/>
                <w:szCs w:val="32"/>
              </w:rPr>
            </w:pPr>
            <w:r>
              <w:rPr>
                <w:rFonts w:hint="eastAsia" w:ascii="宋体" w:hAnsi="宋体" w:eastAsia="宋体" w:cs="宋体"/>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w:t>
            </w:r>
          </w:p>
          <w:p>
            <w:pPr>
              <w:widowControl/>
              <w:jc w:val="center"/>
              <w:rPr>
                <w:rFonts w:ascii="仿宋_GB2312" w:hAnsi="Times New Roman" w:eastAsia="仿宋_GB2312" w:cs="Times New Roman"/>
                <w:sz w:val="32"/>
                <w:szCs w:val="32"/>
              </w:rPr>
            </w:pPr>
            <w:r>
              <w:rPr>
                <w:rFonts w:hint="eastAsia" w:ascii="宋体" w:hAnsi="宋体" w:eastAsia="宋体" w:cs="宋体"/>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w:t>
            </w:r>
          </w:p>
          <w:p>
            <w:pPr>
              <w:widowControl/>
              <w:jc w:val="center"/>
              <w:rPr>
                <w:rFonts w:ascii="仿宋_GB2312" w:hAnsi="Times New Roman" w:eastAsia="仿宋_GB2312" w:cs="Times New Roman"/>
                <w:sz w:val="32"/>
                <w:szCs w:val="32"/>
              </w:rPr>
            </w:pPr>
            <w:r>
              <w:rPr>
                <w:rFonts w:hint="eastAsia" w:ascii="宋体" w:hAnsi="宋体" w:eastAsia="宋体" w:cs="宋体"/>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w:t>
            </w:r>
          </w:p>
          <w:p>
            <w:pPr>
              <w:widowControl/>
              <w:jc w:val="center"/>
              <w:rPr>
                <w:rFonts w:ascii="仿宋_GB2312" w:hAnsi="Times New Roman" w:eastAsia="仿宋_GB2312" w:cs="Times New Roman"/>
                <w:sz w:val="32"/>
                <w:szCs w:val="32"/>
              </w:rPr>
            </w:pPr>
            <w:r>
              <w:rPr>
                <w:rFonts w:hint="eastAsia" w:ascii="宋体" w:hAnsi="宋体" w:eastAsia="宋体" w:cs="宋体"/>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尚未</w:t>
            </w:r>
          </w:p>
          <w:p>
            <w:pPr>
              <w:widowControl/>
              <w:jc w:val="center"/>
              <w:rPr>
                <w:rFonts w:ascii="仿宋_GB2312" w:hAnsi="Times New Roman" w:eastAsia="仿宋_GB2312" w:cs="Times New Roman"/>
                <w:sz w:val="32"/>
                <w:szCs w:val="32"/>
              </w:rPr>
            </w:pPr>
            <w:r>
              <w:rPr>
                <w:rFonts w:hint="eastAsia" w:ascii="宋体" w:hAnsi="宋体" w:eastAsia="宋体" w:cs="宋体"/>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sz w:val="32"/>
                <w:szCs w:val="32"/>
              </w:rPr>
            </w:pPr>
            <w:r>
              <w:rPr>
                <w:rFonts w:hint="eastAsia" w:ascii="宋体" w:hAnsi="宋体" w:eastAsia="宋体" w:cs="宋体"/>
                <w:kern w:val="0"/>
                <w:sz w:val="20"/>
                <w:szCs w:val="20"/>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黑体" w:cs="Times New Roman"/>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sz w:val="32"/>
                <w:szCs w:val="32"/>
              </w:rPr>
            </w:pPr>
            <w:r>
              <w:rPr>
                <w:rFonts w:hint="default" w:ascii="Times New Roman" w:hAnsi="Times New Roman" w:eastAsia="仿宋_GB2312" w:cs="Times New Roman"/>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rPr>
                <w:rFonts w:ascii="宋体" w:hAnsi="Times New Roman" w:eastAsia="仿宋_GB2312" w:cs="Times New Roman"/>
                <w:sz w:val="24"/>
                <w:szCs w:val="24"/>
              </w:rPr>
            </w:pPr>
            <w:r>
              <w:rPr>
                <w:rFonts w:hint="default" w:ascii="Times New Roman" w:hAnsi="Times New Roman" w:eastAsia="仿宋_GB2312" w:cs="Times New Roman"/>
                <w:kern w:val="0"/>
                <w:sz w:val="20"/>
                <w:szCs w:val="20"/>
              </w:rPr>
              <w:t>0</w:t>
            </w:r>
          </w:p>
        </w:tc>
      </w:tr>
    </w:tbl>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（一）存在问题</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2022</w:t>
      </w:r>
      <w:r>
        <w:rPr>
          <w:rFonts w:hint="eastAsia" w:ascii="方正仿宋_GBK" w:hAnsi="方正仿宋_GBK" w:eastAsia="方正仿宋_GBK" w:cs="方正仿宋_GBK"/>
          <w:sz w:val="32"/>
          <w:szCs w:val="32"/>
        </w:rPr>
        <w:t>年我局政务公开工作虽取得了一定成效，但也存在一些不足之处，如市场监管规则和标准栏目公开不及时，信息公开数量、时效性有待进一步加强。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（二）下一步打算</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下一步将继续做好以下工作：</w:t>
      </w:r>
      <w:r>
        <w:rPr>
          <w:rFonts w:hint="eastAsia" w:ascii="方正仿宋_GBK" w:hAnsi="方正仿宋_GBK" w:eastAsia="方正仿宋_GBK" w:cs="方正仿宋_GBK"/>
          <w:b/>
          <w:bCs/>
          <w:sz w:val="32"/>
          <w:szCs w:val="32"/>
        </w:rPr>
        <w:t>一是</w:t>
      </w:r>
      <w:r>
        <w:rPr>
          <w:rFonts w:hint="eastAsia" w:ascii="方正仿宋_GBK" w:hAnsi="方正仿宋_GBK" w:eastAsia="方正仿宋_GBK" w:cs="方正仿宋_GBK"/>
          <w:sz w:val="32"/>
          <w:szCs w:val="32"/>
        </w:rPr>
        <w:t>进一步加强对政务公开工作责任压实，严格信息公开发布审核把关工作，加强对政务公开经办人员的培训指导，提高工作能力。</w:t>
      </w:r>
      <w:r>
        <w:rPr>
          <w:rFonts w:hint="eastAsia" w:ascii="方正仿宋_GBK" w:hAnsi="方正仿宋_GBK" w:eastAsia="方正仿宋_GBK" w:cs="方正仿宋_GBK"/>
          <w:b/>
          <w:bCs/>
          <w:sz w:val="32"/>
          <w:szCs w:val="32"/>
        </w:rPr>
        <w:t>二是</w:t>
      </w:r>
      <w:r>
        <w:rPr>
          <w:rFonts w:hint="eastAsia" w:ascii="方正仿宋_GBK" w:hAnsi="方正仿宋_GBK" w:eastAsia="方正仿宋_GBK" w:cs="方正仿宋_GBK"/>
          <w:sz w:val="32"/>
          <w:szCs w:val="32"/>
        </w:rPr>
        <w:t>明确工作职责，以服务群众为目的，提高信息公开的时效性。</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六、其他需要报告的事项</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按照《国务院办公厅关于印发〈政府信息公开信息处理费管理办法〉的通知》（国办函〔</w:t>
      </w:r>
      <w:r>
        <w:rPr>
          <w:rFonts w:hint="default" w:ascii="Times New Roman" w:hAnsi="Times New Roman" w:eastAsia="方正仿宋_GBK" w:cs="Times New Roman"/>
          <w:sz w:val="32"/>
          <w:szCs w:val="32"/>
        </w:rPr>
        <w:t>2020</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109</w:t>
      </w:r>
      <w:r>
        <w:rPr>
          <w:rFonts w:hint="eastAsia" w:ascii="方正仿宋_GBK" w:hAnsi="方正仿宋_GBK" w:eastAsia="方正仿宋_GBK" w:cs="方正仿宋_GBK"/>
          <w:sz w:val="32"/>
          <w:szCs w:val="32"/>
        </w:rPr>
        <w:t>号）规定的按件、按量收费标准，本年度没有产生信息公开处理费。</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金寨县市场监督管理局</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rPr>
        <w:t>2023</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23</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Calibri Light">
    <w:panose1 w:val="020F0302020204030204"/>
    <w:charset w:val="00"/>
    <w:family w:val="auto"/>
    <w:pitch w:val="default"/>
    <w:sig w:usb0="A00002EF" w:usb1="4000207B"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方正楷体_GBK">
    <w:panose1 w:val="03000509000000000000"/>
    <w:charset w:val="86"/>
    <w:family w:val="auto"/>
    <w:pitch w:val="default"/>
    <w:sig w:usb0="00000001" w:usb1="080E0000" w:usb2="00000000" w:usb3="00000000" w:csb0="00040000" w:csb1="00000000"/>
  </w:font>
  <w:font w:name="Palatino Linotype">
    <w:panose1 w:val="02040502050505030304"/>
    <w:charset w:val="00"/>
    <w:family w:val="auto"/>
    <w:pitch w:val="default"/>
    <w:sig w:usb0="E0000287" w:usb1="40000013" w:usb2="00000000" w:usb3="00000000" w:csb0="2000019F" w:csb1="00000000"/>
  </w:font>
  <w:font w:name="Plantagenet Cherokee">
    <w:panose1 w:val="02020602070100000000"/>
    <w:charset w:val="00"/>
    <w:family w:val="auto"/>
    <w:pitch w:val="default"/>
    <w:sig w:usb0="00000003" w:usb1="00000000" w:usb2="00001000" w:usb3="00000000" w:csb0="00000001" w:csb1="00000000"/>
  </w:font>
  <w:font w:name="Rod">
    <w:panose1 w:val="02030509050101010101"/>
    <w:charset w:val="00"/>
    <w:family w:val="auto"/>
    <w:pitch w:val="default"/>
    <w:sig w:usb0="00000801" w:usb1="00000000" w:usb2="00000000" w:usb3="00000000" w:csb0="00000020" w:csb1="002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5OTVjMWI4MTc1MjU2NTkzZGFiNmI2ODRkZDg1MDIifQ=="/>
  </w:docVars>
  <w:rsids>
    <w:rsidRoot w:val="5DF5521B"/>
    <w:rsid w:val="5DF55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普通(网站)1"/>
    <w:qFormat/>
    <w:uiPriority w:val="0"/>
    <w:pPr>
      <w:widowControl w:val="0"/>
      <w:spacing w:before="100" w:beforeAutospacing="1" w:after="100" w:afterAutospacing="1"/>
    </w:pPr>
    <w:rPr>
      <w:rFonts w:ascii="仿宋_GB2312" w:hAnsi="Times New Roman" w:eastAsia="仿宋_GB2312" w:cs="Times New Roman"/>
      <w:sz w:val="24"/>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2024-02-21T00:41:00Z</dcterms:created>
  <dc:creator>东门孑</dc:creator>
  <cp:lastModifiedBy>东门孑</cp:lastModifiedBy>
  <dcterms:modified xsi:type="dcterms:W3CDTF">2024-02-21T00:51:49Z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2C637699C52E4136A1DA0449D34B7680_11</vt:lpwstr>
  </property>
</Properties>
</file>