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shd w:val="clear" w:fill="FFFFFF"/>
        <w:spacing w:before="0" w:beforeAutospacing="1" w:after="0" w:afterAutospacing="1"/>
        <w:ind w:left="0" w:right="0"/>
        <w:jc w:val="center"/>
        <w:rPr>
          <w:rFonts w:hint="eastAsia" w:ascii="仿宋_GB2312" w:hAnsi="宋体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kern w:val="2"/>
          <w:sz w:val="36"/>
          <w:szCs w:val="36"/>
          <w:shd w:val="clear" w:fill="FFFFFF"/>
          <w:lang w:val="en-US" w:eastAsia="zh-CN" w:bidi="ar"/>
        </w:rPr>
        <w:t>金寨县退役军人事务局2023年政府信息公开工作  年度报告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left"/>
        <w:textAlignment w:val="auto"/>
        <w:rPr>
          <w:rFonts w:hint="eastAsia" w:ascii="仿宋_GB2312" w:hAnsi="宋体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</w:pP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N/>
        <w:bidi w:val="0"/>
        <w:adjustRightInd/>
        <w:snapToGrid/>
        <w:spacing w:before="0" w:beforeAutospacing="0" w:after="0" w:afterAutospacing="0" w:line="590" w:lineRule="exact"/>
        <w:ind w:left="0" w:right="0" w:firstLine="640" w:firstLineChars="200"/>
        <w:jc w:val="left"/>
        <w:textAlignment w:val="auto"/>
        <w:rPr>
          <w:rFonts w:hint="eastAsia" w:ascii="仿宋_GB2312" w:hAnsi="宋体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_GB2312" w:hAnsi="宋体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本报告依据《中华人民共和国政府信息公开条例》（国务院令第711号，以下简称《条例》）和《</w:t>
      </w:r>
      <w:r>
        <w:rPr>
          <w:rFonts w:hint="default" w:ascii="仿宋_GB2312" w:hAnsi="宋体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关于做好2023年度政府信息公开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工作</w:t>
      </w:r>
      <w:r>
        <w:rPr>
          <w:rFonts w:hint="default" w:ascii="仿宋_GB2312" w:hAnsi="宋体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年度报告编制和发布的通知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》（金政公开〔2024〕1号）要求编制而成。本报告由总体情况、主动公开政府信息情况、收到和处理政府信息公开申请情况、政府信息公开行政复议和行政诉讼情况、存在的主要问题及改进情况、其他需要报告的事项共6个部分组成。</w:t>
      </w:r>
      <w:r>
        <w:rPr>
          <w:rFonts w:ascii="仿宋_GB2312" w:hAnsi="宋体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本报告中使用数据统计期限为202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3</w:t>
      </w:r>
      <w:r>
        <w:rPr>
          <w:rFonts w:ascii="仿宋_GB2312" w:hAnsi="宋体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年1月1日至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2023年</w:t>
      </w:r>
      <w:r>
        <w:rPr>
          <w:rFonts w:ascii="仿宋_GB2312" w:hAnsi="宋体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12月31日，报告的电子版可在金寨县信息公开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网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（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https://www.ahjinzhai.gov.cn/public/column/6596281?type=3&amp;action=list&amp;nav=3&amp;title=2022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）</w:t>
      </w:r>
      <w:r>
        <w:rPr>
          <w:rFonts w:ascii="仿宋_GB2312" w:hAnsi="宋体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下载。如对本报告有任何疑问，请与金寨县退役军人事务局办公室联系（地址：金寨县新城区江环北路桂花苑南区南门，电话：0564—2716801，邮编：237300）。</w:t>
      </w:r>
    </w:p>
    <w:p>
      <w:pPr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right="0" w:firstLine="640" w:firstLineChars="200"/>
        <w:jc w:val="both"/>
        <w:textAlignment w:val="auto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一、总体情况</w:t>
      </w:r>
    </w:p>
    <w:p>
      <w:pPr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right="0" w:firstLine="640" w:firstLineChars="200"/>
        <w:jc w:val="both"/>
        <w:textAlignment w:val="auto"/>
        <w:rPr>
          <w:rFonts w:hint="eastAsia" w:ascii="仿宋_GB2312" w:hAnsi="宋体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_GB2312" w:hAnsi="宋体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2023年，金寨县退役军人事务局不断提高政务公开工作制度化、规范化、科学化、民主化，切实保障人民群众对退役军人工作的知情权、参与权、表达权和监督权。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楷体_GB2312" w:hAnsi="楷体_GB2312" w:eastAsia="楷体_GB2312" w:cs="楷体_GB2312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（一）主动公开。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我局坚持以退役军人为中心，将涉及退役军人关心关切的政策文件、热点问题作为信息公开重点，及时、准确地发布各类政务信息。</w:t>
      </w:r>
      <w:r>
        <w:rPr>
          <w:rFonts w:hint="eastAsia" w:ascii="仿宋_GB2312" w:hAnsi="宋体" w:eastAsia="仿宋_GB2312" w:cs="仿宋_GB2312"/>
          <w:b/>
          <w:bCs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一是规范公开内容。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按照设立栏目全面公开各类政务信息，力求政务公开的内容规范化、系统化并做到发布的实效性，全年共发布各类信息323条。</w:t>
      </w:r>
      <w:r>
        <w:rPr>
          <w:rFonts w:hint="eastAsia" w:ascii="仿宋_GB2312" w:hAnsi="宋体" w:eastAsia="仿宋_GB2312" w:cs="仿宋_GB2312"/>
          <w:b/>
          <w:bCs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二是丰富公开形式。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通过文字解读、图片解读、新闻发布会等多种方式，以群众喜闻乐见的形式展示政策内容，全年公开各类政策解读18条。</w:t>
      </w:r>
      <w:r>
        <w:rPr>
          <w:rFonts w:hint="eastAsia" w:ascii="仿宋_GB2312" w:hAnsi="宋体" w:eastAsia="仿宋_GB2312" w:cs="仿宋_GB2312"/>
          <w:b/>
          <w:bCs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三是突出服务大局。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加强政务舆情收集和信息共享，针对媒体和社会关注的舆情及时发布权威信息，公示重大突发事件处置情况，全年主动回应各类问题56条，全面推动我局政务公开工作迈上新台阶。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楷体_GB2312" w:hAnsi="楷体_GB2312" w:eastAsia="楷体_GB2312" w:cs="楷体_GB2312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（二）依申请公开。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认真贯彻落实《金寨县政府信息依申请公开制度》，完善各项办理程序，及时受理申请，畅通受理渠道，有效满足群众对各项信息需求。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t>2023年我单位未收到依申请公开申请事项。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 w:firstLine="640" w:firstLineChars="200"/>
        <w:jc w:val="both"/>
        <w:textAlignment w:val="auto"/>
        <w:rPr>
          <w:rFonts w:hint="eastAsia" w:ascii="仿宋_GB2312" w:hAnsi="微软雅黑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楷体_GB2312" w:hAnsi="楷体_GB2312" w:eastAsia="楷体_GB2312" w:cs="楷体_GB2312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（三）政府信息管理。</w:t>
      </w:r>
      <w:r>
        <w:rPr>
          <w:rFonts w:hint="eastAsia" w:ascii="仿宋_GB2312" w:hAnsi="微软雅黑" w:eastAsia="仿宋_GB2312" w:cs="仿宋_GB2312"/>
          <w:b/>
          <w:bCs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一是严格落实信息审核制度。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及时修订完善信息公开发布、审查制度，严格落实发布前审核、发布后更新及信息有效性管理。</w:t>
      </w:r>
      <w:r>
        <w:rPr>
          <w:rFonts w:hint="eastAsia" w:ascii="仿宋_GB2312" w:hAnsi="微软雅黑" w:eastAsia="仿宋_GB2312" w:cs="仿宋_GB2312"/>
          <w:b/>
          <w:bCs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二是按要求做好规范性文件发布。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按照政务公开办的要求，做好规范性文件排查工作，经排查，截至目前我局共发布1条规范性文件，对文件发布格式、排版、字体等全部进行重新调整，确保公开格式准确无误。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 w:firstLine="640" w:firstLineChars="200"/>
        <w:jc w:val="both"/>
        <w:textAlignment w:val="auto"/>
        <w:rPr>
          <w:rFonts w:hint="eastAsia" w:ascii="仿宋_GB2312" w:hAnsi="宋体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楷体_GB2312" w:hAnsi="楷体_GB2312" w:eastAsia="楷体_GB2312" w:cs="楷体_GB2312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（四）政府信息公开平台建设。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建立常态化管理，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进一步加强平台建设，根据上级相关文件要求，拓展信息公开领域，围绕重点工作、社会热点，对公开栏目信息做好动态更新调整。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按照上级部门安排实时调整我局政务公开网栏目，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进一步推动政务公开工作的规范化、标准化、精确化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，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确保信息公开的及时性、准确性。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/>
        <w:jc w:val="both"/>
        <w:textAlignment w:val="auto"/>
        <w:rPr>
          <w:rFonts w:hint="eastAsia"/>
          <w:lang w:val="en-US" w:eastAsia="zh-CN"/>
        </w:rPr>
      </w:pPr>
      <w:r>
        <w:rPr>
          <w:rFonts w:hint="eastAsia" w:ascii="楷体_GB2312" w:hAnsi="楷体_GB2312" w:eastAsia="楷体_GB2312" w:cs="楷体_GB2312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(五）监督保障。</w:t>
      </w:r>
      <w:r>
        <w:rPr>
          <w:rFonts w:hint="eastAsia" w:ascii="仿宋_GB2312" w:hAnsi="宋体" w:eastAsia="仿宋_GB2312" w:cs="仿宋_GB2312"/>
          <w:b/>
          <w:bCs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一是组织保障有力。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根据人员变动及时调整政务公开领导小组，建立健全保密审查、风险评估、信息发布、政策解读、舆论引导、应急处置等各项配套制度，</w:t>
      </w:r>
      <w:r>
        <w:rPr>
          <w:rFonts w:ascii="仿宋_GB2312" w:hAnsi="宋体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压实政务公开工作责任，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配齐配强工作力量，全面推进政务公开工作。</w:t>
      </w:r>
      <w:r>
        <w:rPr>
          <w:rFonts w:hint="eastAsia" w:ascii="仿宋_GB2312" w:hAnsi="微软雅黑" w:eastAsia="仿宋_GB2312" w:cs="仿宋_GB2312"/>
          <w:b/>
          <w:bCs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二是加强监督管理。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局机关每个月启动政务公开信息的清理、清查工作，及时删除过时的、不符合要求的政务公开信息，确保政务公开信息的可靠性。</w:t>
      </w:r>
      <w:r>
        <w:rPr>
          <w:rFonts w:hint="eastAsia" w:ascii="仿宋_GB2312" w:hAnsi="微软雅黑" w:eastAsia="仿宋_GB2312" w:cs="仿宋_GB2312"/>
          <w:b/>
          <w:bCs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三是强化问题整改。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对县政务公开办反馈的监测问题清单，局党组高度重视，安排专人进行整改完善，建立台账，认真梳理，逐项解决，对账销号，确保实实在在解决问题，建立长效机制。</w:t>
      </w:r>
    </w:p>
    <w:p>
      <w:pPr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二、主动公开政府信息情况</w:t>
      </w:r>
    </w:p>
    <w:tbl>
      <w:tblPr>
        <w:tblStyle w:val="3"/>
        <w:tblW w:w="9740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435"/>
        <w:gridCol w:w="2435"/>
        <w:gridCol w:w="2435"/>
        <w:gridCol w:w="2435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Times New Roman" w:eastAsia="仿宋_GB2312" w:cs="Times New Roman"/>
                <w:kern w:val="2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第二十条第（一）项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Times New Roman" w:eastAsia="仿宋_GB2312" w:cs="Times New Roman"/>
                <w:kern w:val="2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信息内容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Times New Roman" w:eastAsia="仿宋_GB2312" w:cs="Times New Roman"/>
                <w:kern w:val="2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本年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制发件数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Times New Roman" w:eastAsia="仿宋_GB2312" w:cs="Times New Roman"/>
                <w:kern w:val="2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本年废止件数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Times New Roman" w:eastAsia="仿宋_GB2312" w:cs="Times New Roman"/>
                <w:kern w:val="2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现行有效件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数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规章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行政规范性文件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Times New Roman" w:eastAsia="仿宋_GB2312" w:cs="Times New Roman"/>
                <w:kern w:val="2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第二十条第（五）项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Times New Roman" w:eastAsia="仿宋_GB2312" w:cs="Times New Roman"/>
                <w:kern w:val="2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Times New Roman" w:eastAsia="仿宋_GB2312" w:cs="Times New Roman"/>
                <w:kern w:val="2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本年处理决定数量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仿宋_GB2312" w:hAnsi="Times New Roman" w:eastAsia="仿宋_GB2312" w:cs="Times New Roman"/>
                <w:kern w:val="2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行政许可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3570" w:firstLineChars="1700"/>
              <w:jc w:val="left"/>
              <w:rPr>
                <w:rFonts w:hint="default" w:ascii="仿宋_GB2312" w:hAnsi="Times New Roman" w:eastAsia="仿宋_GB2312" w:cs="Times New Roman"/>
                <w:kern w:val="2"/>
                <w:sz w:val="32"/>
                <w:szCs w:val="32"/>
                <w:lang w:val="en-US"/>
              </w:rPr>
            </w:pPr>
            <w:r>
              <w:rPr>
                <w:rFonts w:hint="eastAsia" w:ascii="Calibri" w:hAnsi="Calibri" w:eastAsia="仿宋_GB2312" w:cs="Calibri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Times New Roman" w:eastAsia="仿宋_GB2312" w:cs="Times New Roman"/>
                <w:kern w:val="2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第二十条第（六）项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center"/>
              <w:rPr>
                <w:rFonts w:hint="eastAsia" w:ascii="仿宋_GB2312" w:hAnsi="Times New Roman" w:eastAsia="仿宋_GB2312" w:cs="Times New Roman"/>
                <w:kern w:val="2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center"/>
              <w:rPr>
                <w:rFonts w:hint="eastAsia" w:ascii="仿宋_GB2312" w:hAnsi="Times New Roman" w:eastAsia="仿宋_GB2312" w:cs="Times New Roman"/>
                <w:kern w:val="2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本年处理决定数量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行政处罚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行政强制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Times New Roman" w:eastAsia="仿宋_GB2312" w:cs="Times New Roman"/>
                <w:kern w:val="2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第二十条第（八）项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Times New Roman" w:eastAsia="仿宋_GB2312" w:cs="Times New Roman"/>
                <w:kern w:val="2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Times New Roman" w:eastAsia="仿宋_GB2312" w:cs="Times New Roman"/>
                <w:kern w:val="2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本年收费金额（单位：万元）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仿宋_GB2312" w:hAnsi="Times New Roman" w:eastAsia="仿宋_GB2312" w:cs="Times New Roman"/>
                <w:kern w:val="2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行政事业性收费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宋体" w:hAnsi="Times New Roman" w:eastAsia="仿宋_GB2312" w:cs="Times New Roman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Times New Roman" w:eastAsia="仿宋_GB2312" w:cs="Times New Roman"/>
                <w:kern w:val="2"/>
                <w:sz w:val="24"/>
                <w:szCs w:val="24"/>
                <w:lang w:val="en-US" w:eastAsia="zh-CN"/>
              </w:rPr>
              <w:t xml:space="preserve">                          0</w:t>
            </w:r>
          </w:p>
        </w:tc>
      </w:tr>
    </w:tbl>
    <w:p>
      <w:pPr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60" w:lineRule="exact"/>
        <w:ind w:right="0"/>
        <w:jc w:val="left"/>
        <w:textAlignment w:val="auto"/>
        <w:rPr>
          <w:rFonts w:hint="eastAsia" w:eastAsiaTheme="minorEastAsia"/>
          <w:lang w:val="en-US"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收到和处理政府信息公开申请情况</w:t>
      </w:r>
    </w:p>
    <w:tbl>
      <w:tblPr>
        <w:tblStyle w:val="3"/>
        <w:tblpPr w:leftFromText="180" w:rightFromText="180" w:vertAnchor="text" w:horzAnchor="page" w:tblpX="1220" w:tblpY="293"/>
        <w:tblOverlap w:val="never"/>
        <w:tblW w:w="9745" w:type="dxa"/>
        <w:tblInd w:w="0" w:type="dxa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67"/>
        <w:gridCol w:w="943"/>
        <w:gridCol w:w="3219"/>
        <w:gridCol w:w="688"/>
        <w:gridCol w:w="688"/>
        <w:gridCol w:w="688"/>
        <w:gridCol w:w="688"/>
        <w:gridCol w:w="688"/>
        <w:gridCol w:w="688"/>
        <w:gridCol w:w="688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929" w:type="dxa"/>
            <w:gridSpan w:val="3"/>
            <w:vMerge w:val="restart"/>
            <w:tcBorders>
              <w:top w:val="single" w:color="auto" w:sz="8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仿宋_GB2312" w:hAnsi="Times New Roman" w:eastAsia="仿宋_GB2312" w:cs="Times New Roman"/>
                <w:kern w:val="2"/>
                <w:sz w:val="32"/>
                <w:szCs w:val="32"/>
              </w:rPr>
            </w:pPr>
            <w:r>
              <w:rPr>
                <w:rFonts w:hint="eastAsia"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  <w:t>（本列数据的勾稽关系为：第一项加第二项之和，等于第三项加第四项之和）</w:t>
            </w:r>
          </w:p>
        </w:tc>
        <w:tc>
          <w:tcPr>
            <w:tcW w:w="4816" w:type="dxa"/>
            <w:gridSpan w:val="7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Times New Roman" w:eastAsia="仿宋_GB2312" w:cs="Times New Roman"/>
                <w:kern w:val="2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申请人情况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929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8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Times New Roman" w:eastAsia="仿宋_GB2312" w:cs="Times New Roman"/>
                <w:kern w:val="2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自然人</w:t>
            </w:r>
          </w:p>
        </w:tc>
        <w:tc>
          <w:tcPr>
            <w:tcW w:w="3440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Times New Roman" w:eastAsia="仿宋_GB2312" w:cs="Times New Roman"/>
                <w:kern w:val="2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法人或其他组织</w:t>
            </w:r>
          </w:p>
        </w:tc>
        <w:tc>
          <w:tcPr>
            <w:tcW w:w="688" w:type="dxa"/>
            <w:vMerge w:val="restart"/>
            <w:tcBorders>
              <w:top w:val="single" w:color="auto" w:sz="8" w:space="0"/>
              <w:left w:val="nil"/>
              <w:bottom w:val="out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Times New Roman" w:eastAsia="仿宋_GB2312" w:cs="Times New Roman"/>
                <w:kern w:val="2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总计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929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8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Times New Roman" w:eastAsia="仿宋_GB2312" w:cs="Times New Roman"/>
                <w:kern w:val="2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商业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Times New Roman" w:eastAsia="仿宋_GB2312" w:cs="Times New Roman"/>
                <w:kern w:val="2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企业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Times New Roman" w:eastAsia="仿宋_GB2312" w:cs="Times New Roman"/>
                <w:kern w:val="2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科研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Times New Roman" w:eastAsia="仿宋_GB2312" w:cs="Times New Roman"/>
                <w:kern w:val="2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机构</w:t>
            </w:r>
          </w:p>
        </w:tc>
        <w:tc>
          <w:tcPr>
            <w:tcW w:w="68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Times New Roman" w:eastAsia="仿宋_GB2312" w:cs="Times New Roman"/>
                <w:kern w:val="2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社会公益组织</w:t>
            </w:r>
          </w:p>
        </w:tc>
        <w:tc>
          <w:tcPr>
            <w:tcW w:w="68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Times New Roman" w:eastAsia="仿宋_GB2312" w:cs="Times New Roman"/>
                <w:kern w:val="2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法律服务机构</w:t>
            </w:r>
          </w:p>
        </w:tc>
        <w:tc>
          <w:tcPr>
            <w:tcW w:w="68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Times New Roman" w:eastAsia="仿宋_GB2312" w:cs="Times New Roman"/>
                <w:kern w:val="2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其他</w:t>
            </w:r>
          </w:p>
        </w:tc>
        <w:tc>
          <w:tcPr>
            <w:tcW w:w="688" w:type="dxa"/>
            <w:vMerge w:val="continue"/>
            <w:tcBorders>
              <w:top w:val="single" w:color="auto" w:sz="8" w:space="0"/>
              <w:left w:val="nil"/>
              <w:bottom w:val="out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929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仿宋_GB2312" w:hAnsi="Times New Roman" w:eastAsia="仿宋_GB2312" w:cs="Times New Roman"/>
                <w:kern w:val="2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一、本年新收政府信息公开申请数量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Times New Roman" w:eastAsia="仿宋_GB2312" w:cs="Times New Roman"/>
                <w:kern w:val="2"/>
                <w:sz w:val="32"/>
                <w:szCs w:val="32"/>
                <w:lang w:val="en-US"/>
              </w:rPr>
            </w:pPr>
            <w:r>
              <w:rPr>
                <w:rFonts w:hint="default" w:ascii="Calibri" w:hAnsi="Calibri" w:eastAsia="仿宋_GB2312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eastAsia="仿宋_GB2312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Times New Roman" w:eastAsia="仿宋_GB2312" w:cs="Times New Roman"/>
                <w:kern w:val="2"/>
                <w:sz w:val="32"/>
                <w:szCs w:val="32"/>
                <w:lang w:val="en-US"/>
              </w:rPr>
            </w:pPr>
            <w:r>
              <w:rPr>
                <w:rFonts w:hint="default" w:ascii="Calibri" w:hAnsi="Calibri" w:eastAsia="仿宋_GB2312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eastAsia="仿宋_GB2312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Times New Roman" w:eastAsia="仿宋_GB2312" w:cs="Times New Roman"/>
                <w:kern w:val="2"/>
                <w:sz w:val="32"/>
                <w:szCs w:val="32"/>
                <w:lang w:val="en-US"/>
              </w:rPr>
            </w:pPr>
            <w:r>
              <w:rPr>
                <w:rFonts w:hint="default" w:ascii="Calibri" w:hAnsi="Calibri" w:eastAsia="仿宋_GB2312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eastAsia="仿宋_GB2312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Times New Roman" w:eastAsia="仿宋_GB2312" w:cs="Times New Roman"/>
                <w:kern w:val="2"/>
                <w:sz w:val="32"/>
                <w:szCs w:val="32"/>
              </w:rPr>
            </w:pPr>
            <w:r>
              <w:rPr>
                <w:rFonts w:hint="eastAsia" w:ascii="Calibri" w:hAnsi="Calibri" w:eastAsia="仿宋_GB2312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Times New Roman" w:eastAsia="仿宋_GB2312" w:cs="Times New Roman"/>
                <w:kern w:val="2"/>
                <w:sz w:val="32"/>
                <w:szCs w:val="32"/>
                <w:lang w:val="en-US"/>
              </w:rPr>
            </w:pPr>
            <w:r>
              <w:rPr>
                <w:rFonts w:hint="default" w:ascii="Calibri" w:hAnsi="Calibri" w:eastAsia="仿宋_GB2312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eastAsia="仿宋_GB2312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Times New Roman" w:eastAsia="仿宋_GB2312" w:cs="Times New Roman"/>
                <w:kern w:val="2"/>
                <w:sz w:val="32"/>
                <w:szCs w:val="32"/>
                <w:lang w:val="en-US"/>
              </w:rPr>
            </w:pPr>
            <w:r>
              <w:rPr>
                <w:rFonts w:hint="default" w:ascii="Calibri" w:hAnsi="Calibri" w:eastAsia="仿宋_GB2312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eastAsia="仿宋_GB2312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Times New Roman" w:eastAsia="仿宋_GB2312" w:cs="Times New Roman"/>
                <w:kern w:val="2"/>
                <w:sz w:val="32"/>
                <w:szCs w:val="32"/>
              </w:rPr>
            </w:pPr>
            <w:r>
              <w:rPr>
                <w:rFonts w:hint="eastAsia" w:ascii="Calibri" w:hAnsi="Calibri" w:eastAsia="仿宋_GB2312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eastAsia="仿宋_GB2312" w:cs="Calibri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929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仿宋_GB2312" w:hAnsi="Times New Roman" w:eastAsia="仿宋_GB2312" w:cs="Times New Roman"/>
                <w:kern w:val="2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二、上年结转政府信息公开申请数量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Calibri" w:hAnsi="Calibri" w:eastAsia="仿宋_GB2312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eastAsia="仿宋_GB2312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Calibri" w:hAnsi="Calibri" w:eastAsia="仿宋_GB2312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eastAsia="仿宋_GB2312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Calibri" w:hAnsi="Calibri" w:eastAsia="仿宋_GB2312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eastAsia="仿宋_GB2312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Calibri" w:hAnsi="Calibri" w:eastAsia="仿宋_GB2312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Calibri" w:hAnsi="Calibri" w:eastAsia="仿宋_GB2312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eastAsia="仿宋_GB2312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Calibri" w:hAnsi="Calibri" w:eastAsia="仿宋_GB2312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eastAsia="仿宋_GB2312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Calibri" w:hAnsi="Calibri" w:eastAsia="仿宋_GB2312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eastAsia="仿宋_GB2312" w:cs="Calibri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67" w:type="dxa"/>
            <w:vMerge w:val="restart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仿宋_GB2312" w:hAnsi="Times New Roman" w:eastAsia="仿宋_GB2312" w:cs="Times New Roman"/>
                <w:kern w:val="2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三、本年度办理结果</w:t>
            </w:r>
          </w:p>
        </w:tc>
        <w:tc>
          <w:tcPr>
            <w:tcW w:w="4162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仿宋_GB2312" w:hAnsi="Times New Roman" w:eastAsia="仿宋_GB2312" w:cs="Times New Roman"/>
                <w:kern w:val="2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（一）予以公开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Calibri" w:hAnsi="Calibri" w:eastAsia="仿宋_GB2312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eastAsia="仿宋_GB2312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Calibri" w:hAnsi="Calibri" w:eastAsia="仿宋_GB2312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eastAsia="仿宋_GB2312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Calibri" w:hAnsi="Calibri" w:eastAsia="仿宋_GB2312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eastAsia="仿宋_GB2312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Calibri" w:hAnsi="Calibri" w:eastAsia="仿宋_GB2312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Calibri" w:hAnsi="Calibri" w:eastAsia="仿宋_GB2312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eastAsia="仿宋_GB2312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Calibri" w:hAnsi="Calibri" w:eastAsia="仿宋_GB2312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eastAsia="仿宋_GB2312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Calibri" w:hAnsi="Calibri" w:eastAsia="仿宋_GB2312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eastAsia="仿宋_GB2312" w:cs="Calibri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67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2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仿宋_GB2312" w:hAnsi="Times New Roman" w:eastAsia="仿宋_GB2312" w:cs="Times New Roman"/>
                <w:kern w:val="2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（二）部分公开</w:t>
            </w:r>
            <w:r>
              <w:rPr>
                <w:rFonts w:hint="eastAsia"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  <w:t>（区分处理的，只计这一情形，不计其他情形）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Calibri" w:hAnsi="Calibri" w:eastAsia="仿宋_GB2312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eastAsia="仿宋_GB2312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Calibri" w:hAnsi="Calibri" w:eastAsia="仿宋_GB2312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eastAsia="仿宋_GB2312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Calibri" w:hAnsi="Calibri" w:eastAsia="仿宋_GB2312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eastAsia="仿宋_GB2312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Calibri" w:hAnsi="Calibri" w:eastAsia="仿宋_GB2312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Calibri" w:hAnsi="Calibri" w:eastAsia="仿宋_GB2312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eastAsia="仿宋_GB2312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Calibri" w:hAnsi="Calibri" w:eastAsia="仿宋_GB2312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eastAsia="仿宋_GB2312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Calibri" w:hAnsi="Calibri" w:eastAsia="仿宋_GB2312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eastAsia="仿宋_GB2312" w:cs="Calibri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67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3" w:type="dxa"/>
            <w:vMerge w:val="restart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仿宋_GB2312" w:hAnsi="Times New Roman" w:eastAsia="仿宋_GB2312" w:cs="Times New Roman"/>
                <w:kern w:val="2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（三）不予公开</w:t>
            </w:r>
          </w:p>
        </w:tc>
        <w:tc>
          <w:tcPr>
            <w:tcW w:w="32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仿宋_GB2312" w:hAnsi="Times New Roman" w:eastAsia="仿宋_GB2312" w:cs="Times New Roman"/>
                <w:kern w:val="2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1.属于国家秘密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Calibri" w:hAnsi="Calibri" w:eastAsia="仿宋_GB2312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eastAsia="仿宋_GB2312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Calibri" w:hAnsi="Calibri" w:eastAsia="仿宋_GB2312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eastAsia="仿宋_GB2312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Calibri" w:hAnsi="Calibri" w:eastAsia="仿宋_GB2312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eastAsia="仿宋_GB2312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Calibri" w:hAnsi="Calibri" w:eastAsia="仿宋_GB2312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Calibri" w:hAnsi="Calibri" w:eastAsia="仿宋_GB2312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eastAsia="仿宋_GB2312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Calibri" w:hAnsi="Calibri" w:eastAsia="仿宋_GB2312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eastAsia="仿宋_GB2312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Calibri" w:hAnsi="Calibri" w:eastAsia="仿宋_GB2312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eastAsia="仿宋_GB2312" w:cs="Calibri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67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仿宋_GB2312" w:hAnsi="Times New Roman" w:eastAsia="仿宋_GB2312" w:cs="Times New Roman"/>
                <w:kern w:val="2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2.其他法律行政法规禁止公开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Calibri" w:hAnsi="Calibri" w:eastAsia="仿宋_GB2312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eastAsia="仿宋_GB2312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Calibri" w:hAnsi="Calibri" w:eastAsia="仿宋_GB2312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eastAsia="仿宋_GB2312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Calibri" w:hAnsi="Calibri" w:eastAsia="仿宋_GB2312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eastAsia="仿宋_GB2312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Calibri" w:hAnsi="Calibri" w:eastAsia="仿宋_GB2312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Calibri" w:hAnsi="Calibri" w:eastAsia="仿宋_GB2312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eastAsia="仿宋_GB2312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Calibri" w:hAnsi="Calibri" w:eastAsia="仿宋_GB2312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eastAsia="仿宋_GB2312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Calibri" w:hAnsi="Calibri" w:eastAsia="仿宋_GB2312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eastAsia="仿宋_GB2312" w:cs="Calibri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67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仿宋_GB2312" w:hAnsi="Times New Roman" w:eastAsia="仿宋_GB2312" w:cs="Times New Roman"/>
                <w:kern w:val="2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3.危及“三安全一稳定”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Calibri" w:hAnsi="Calibri" w:eastAsia="仿宋_GB2312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eastAsia="仿宋_GB2312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Calibri" w:hAnsi="Calibri" w:eastAsia="仿宋_GB2312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eastAsia="仿宋_GB2312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Calibri" w:hAnsi="Calibri" w:eastAsia="仿宋_GB2312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eastAsia="仿宋_GB2312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Calibri" w:hAnsi="Calibri" w:eastAsia="仿宋_GB2312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Calibri" w:hAnsi="Calibri" w:eastAsia="仿宋_GB2312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eastAsia="仿宋_GB2312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Calibri" w:hAnsi="Calibri" w:eastAsia="仿宋_GB2312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eastAsia="仿宋_GB2312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Calibri" w:hAnsi="Calibri" w:eastAsia="仿宋_GB2312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eastAsia="仿宋_GB2312" w:cs="Calibri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67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仿宋_GB2312" w:hAnsi="Times New Roman" w:eastAsia="仿宋_GB2312" w:cs="Times New Roman"/>
                <w:kern w:val="2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4.保护第三方合法权益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Calibri" w:hAnsi="Calibri" w:eastAsia="仿宋_GB2312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eastAsia="仿宋_GB2312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Calibri" w:hAnsi="Calibri" w:eastAsia="仿宋_GB2312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eastAsia="仿宋_GB2312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Calibri" w:hAnsi="Calibri" w:eastAsia="仿宋_GB2312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eastAsia="仿宋_GB2312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Calibri" w:hAnsi="Calibri" w:eastAsia="仿宋_GB2312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Calibri" w:hAnsi="Calibri" w:eastAsia="仿宋_GB2312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eastAsia="仿宋_GB2312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Calibri" w:hAnsi="Calibri" w:eastAsia="仿宋_GB2312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eastAsia="仿宋_GB2312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Calibri" w:hAnsi="Calibri" w:eastAsia="仿宋_GB2312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eastAsia="仿宋_GB2312" w:cs="Calibri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67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仿宋_GB2312" w:hAnsi="Times New Roman" w:eastAsia="仿宋_GB2312" w:cs="Times New Roman"/>
                <w:kern w:val="2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5.属于三类内部事务信息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Calibri" w:hAnsi="Calibri" w:eastAsia="仿宋_GB2312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eastAsia="仿宋_GB2312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Calibri" w:hAnsi="Calibri" w:eastAsia="仿宋_GB2312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eastAsia="仿宋_GB2312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Calibri" w:hAnsi="Calibri" w:eastAsia="仿宋_GB2312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eastAsia="仿宋_GB2312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Calibri" w:hAnsi="Calibri" w:eastAsia="仿宋_GB2312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Calibri" w:hAnsi="Calibri" w:eastAsia="仿宋_GB2312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eastAsia="仿宋_GB2312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Calibri" w:hAnsi="Calibri" w:eastAsia="仿宋_GB2312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eastAsia="仿宋_GB2312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Calibri" w:hAnsi="Calibri" w:eastAsia="仿宋_GB2312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eastAsia="仿宋_GB2312" w:cs="Calibri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67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仿宋_GB2312" w:hAnsi="Times New Roman" w:eastAsia="仿宋_GB2312" w:cs="Times New Roman"/>
                <w:kern w:val="2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6.属于四类过程性信息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Calibri" w:hAnsi="Calibri" w:eastAsia="仿宋_GB2312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eastAsia="仿宋_GB2312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Calibri" w:hAnsi="Calibri" w:eastAsia="仿宋_GB2312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eastAsia="仿宋_GB2312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Calibri" w:hAnsi="Calibri" w:eastAsia="仿宋_GB2312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eastAsia="仿宋_GB2312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Calibri" w:hAnsi="Calibri" w:eastAsia="仿宋_GB2312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Calibri" w:hAnsi="Calibri" w:eastAsia="仿宋_GB2312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eastAsia="仿宋_GB2312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Calibri" w:hAnsi="Calibri" w:eastAsia="仿宋_GB2312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eastAsia="仿宋_GB2312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Calibri" w:hAnsi="Calibri" w:eastAsia="仿宋_GB2312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eastAsia="仿宋_GB2312" w:cs="Calibri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67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仿宋_GB2312" w:hAnsi="Times New Roman" w:eastAsia="仿宋_GB2312" w:cs="Times New Roman"/>
                <w:kern w:val="2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7.属于行政执法案卷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Calibri" w:hAnsi="Calibri" w:eastAsia="仿宋_GB2312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eastAsia="仿宋_GB2312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Calibri" w:hAnsi="Calibri" w:eastAsia="仿宋_GB2312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eastAsia="仿宋_GB2312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Calibri" w:hAnsi="Calibri" w:eastAsia="仿宋_GB2312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eastAsia="仿宋_GB2312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Calibri" w:hAnsi="Calibri" w:eastAsia="仿宋_GB2312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Calibri" w:hAnsi="Calibri" w:eastAsia="仿宋_GB2312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eastAsia="仿宋_GB2312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Calibri" w:hAnsi="Calibri" w:eastAsia="仿宋_GB2312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eastAsia="仿宋_GB2312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Calibri" w:hAnsi="Calibri" w:eastAsia="仿宋_GB2312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eastAsia="仿宋_GB2312" w:cs="Calibri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67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仿宋_GB2312" w:hAnsi="Times New Roman" w:eastAsia="仿宋_GB2312" w:cs="Times New Roman"/>
                <w:kern w:val="2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8.属于行政查询事项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Calibri" w:hAnsi="Calibri" w:eastAsia="仿宋_GB2312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eastAsia="仿宋_GB2312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Calibri" w:hAnsi="Calibri" w:eastAsia="仿宋_GB2312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eastAsia="仿宋_GB2312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Calibri" w:hAnsi="Calibri" w:eastAsia="仿宋_GB2312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eastAsia="仿宋_GB2312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Calibri" w:hAnsi="Calibri" w:eastAsia="仿宋_GB2312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Calibri" w:hAnsi="Calibri" w:eastAsia="仿宋_GB2312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eastAsia="仿宋_GB2312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Calibri" w:hAnsi="Calibri" w:eastAsia="仿宋_GB2312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eastAsia="仿宋_GB2312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Calibri" w:hAnsi="Calibri" w:eastAsia="仿宋_GB2312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eastAsia="仿宋_GB2312" w:cs="Calibri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67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3" w:type="dxa"/>
            <w:vMerge w:val="restart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仿宋_GB2312" w:hAnsi="Times New Roman" w:eastAsia="仿宋_GB2312" w:cs="Times New Roman"/>
                <w:kern w:val="2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（四）无法提供</w:t>
            </w:r>
          </w:p>
        </w:tc>
        <w:tc>
          <w:tcPr>
            <w:tcW w:w="32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仿宋_GB2312" w:hAnsi="Times New Roman" w:eastAsia="仿宋_GB2312" w:cs="Times New Roman"/>
                <w:kern w:val="2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1.本机关不掌握相关政府信息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Calibri" w:hAnsi="Calibri" w:eastAsia="仿宋_GB2312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eastAsia="仿宋_GB2312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Calibri" w:hAnsi="Calibri" w:eastAsia="仿宋_GB2312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eastAsia="仿宋_GB2312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Calibri" w:hAnsi="Calibri" w:eastAsia="仿宋_GB2312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eastAsia="仿宋_GB2312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Calibri" w:hAnsi="Calibri" w:eastAsia="仿宋_GB2312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Calibri" w:hAnsi="Calibri" w:eastAsia="仿宋_GB2312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eastAsia="仿宋_GB2312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Calibri" w:hAnsi="Calibri" w:eastAsia="仿宋_GB2312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eastAsia="仿宋_GB2312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Calibri" w:hAnsi="Calibri" w:eastAsia="仿宋_GB2312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eastAsia="仿宋_GB2312" w:cs="Calibri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67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仿宋_GB2312" w:hAnsi="Times New Roman" w:eastAsia="仿宋_GB2312" w:cs="Times New Roman"/>
                <w:kern w:val="2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2.没有现成信息需要另行制作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Calibri" w:hAnsi="Calibri" w:eastAsia="仿宋_GB2312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eastAsia="仿宋_GB2312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Calibri" w:hAnsi="Calibri" w:eastAsia="仿宋_GB2312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eastAsia="仿宋_GB2312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Calibri" w:hAnsi="Calibri" w:eastAsia="仿宋_GB2312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eastAsia="仿宋_GB2312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Calibri" w:hAnsi="Calibri" w:eastAsia="仿宋_GB2312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Calibri" w:hAnsi="Calibri" w:eastAsia="仿宋_GB2312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eastAsia="仿宋_GB2312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Calibri" w:hAnsi="Calibri" w:eastAsia="仿宋_GB2312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eastAsia="仿宋_GB2312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Calibri" w:hAnsi="Calibri" w:eastAsia="仿宋_GB2312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eastAsia="仿宋_GB2312" w:cs="Calibri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67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仿宋_GB2312" w:hAnsi="Times New Roman" w:eastAsia="仿宋_GB2312" w:cs="Times New Roman"/>
                <w:kern w:val="2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3.补正后申请内容仍不明确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Calibri" w:hAnsi="Calibri" w:eastAsia="仿宋_GB2312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eastAsia="仿宋_GB2312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Calibri" w:hAnsi="Calibri" w:eastAsia="仿宋_GB2312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eastAsia="仿宋_GB2312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Calibri" w:hAnsi="Calibri" w:eastAsia="仿宋_GB2312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eastAsia="仿宋_GB2312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Calibri" w:hAnsi="Calibri" w:eastAsia="仿宋_GB2312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Calibri" w:hAnsi="Calibri" w:eastAsia="仿宋_GB2312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eastAsia="仿宋_GB2312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Calibri" w:hAnsi="Calibri" w:eastAsia="仿宋_GB2312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eastAsia="仿宋_GB2312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Calibri" w:hAnsi="Calibri" w:eastAsia="仿宋_GB2312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eastAsia="仿宋_GB2312" w:cs="Calibri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67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3" w:type="dxa"/>
            <w:vMerge w:val="restart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仿宋_GB2312" w:hAnsi="Times New Roman" w:eastAsia="仿宋_GB2312" w:cs="Times New Roman"/>
                <w:kern w:val="2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（五）不予处理</w:t>
            </w:r>
          </w:p>
        </w:tc>
        <w:tc>
          <w:tcPr>
            <w:tcW w:w="32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仿宋_GB2312" w:hAnsi="Times New Roman" w:eastAsia="仿宋_GB2312" w:cs="Times New Roman"/>
                <w:kern w:val="2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1.信访举报投诉类申请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Calibri" w:hAnsi="Calibri" w:eastAsia="仿宋_GB2312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eastAsia="仿宋_GB2312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Calibri" w:hAnsi="Calibri" w:eastAsia="仿宋_GB2312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eastAsia="仿宋_GB2312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Calibri" w:hAnsi="Calibri" w:eastAsia="仿宋_GB2312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eastAsia="仿宋_GB2312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Calibri" w:hAnsi="Calibri" w:eastAsia="仿宋_GB2312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Calibri" w:hAnsi="Calibri" w:eastAsia="仿宋_GB2312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eastAsia="仿宋_GB2312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Calibri" w:hAnsi="Calibri" w:eastAsia="仿宋_GB2312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eastAsia="仿宋_GB2312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Calibri" w:hAnsi="Calibri" w:eastAsia="仿宋_GB2312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eastAsia="仿宋_GB2312" w:cs="Calibri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67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仿宋_GB2312" w:hAnsi="Times New Roman" w:eastAsia="仿宋_GB2312" w:cs="Times New Roman"/>
                <w:kern w:val="2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2.重复申请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Calibri" w:hAnsi="Calibri" w:eastAsia="仿宋_GB2312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eastAsia="仿宋_GB2312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Calibri" w:hAnsi="Calibri" w:eastAsia="仿宋_GB2312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eastAsia="仿宋_GB2312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Calibri" w:hAnsi="Calibri" w:eastAsia="仿宋_GB2312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eastAsia="仿宋_GB2312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Calibri" w:hAnsi="Calibri" w:eastAsia="仿宋_GB2312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Calibri" w:hAnsi="Calibri" w:eastAsia="仿宋_GB2312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eastAsia="仿宋_GB2312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Calibri" w:hAnsi="Calibri" w:eastAsia="仿宋_GB2312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eastAsia="仿宋_GB2312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Calibri" w:hAnsi="Calibri" w:eastAsia="仿宋_GB2312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eastAsia="仿宋_GB2312" w:cs="Calibri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67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仿宋_GB2312" w:hAnsi="Times New Roman" w:eastAsia="仿宋_GB2312" w:cs="Times New Roman"/>
                <w:kern w:val="2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3.要求提供公开出版物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Calibri" w:hAnsi="Calibri" w:eastAsia="仿宋_GB2312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eastAsia="仿宋_GB2312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Calibri" w:hAnsi="Calibri" w:eastAsia="仿宋_GB2312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eastAsia="仿宋_GB2312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Calibri" w:hAnsi="Calibri" w:eastAsia="仿宋_GB2312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eastAsia="仿宋_GB2312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Calibri" w:hAnsi="Calibri" w:eastAsia="仿宋_GB2312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Calibri" w:hAnsi="Calibri" w:eastAsia="仿宋_GB2312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eastAsia="仿宋_GB2312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Calibri" w:hAnsi="Calibri" w:eastAsia="仿宋_GB2312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eastAsia="仿宋_GB2312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Calibri" w:hAnsi="Calibri" w:eastAsia="仿宋_GB2312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eastAsia="仿宋_GB2312" w:cs="Calibri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67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仿宋_GB2312" w:hAnsi="Times New Roman" w:eastAsia="仿宋_GB2312" w:cs="Times New Roman"/>
                <w:kern w:val="2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4.无正当理由大量反复申请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Calibri" w:hAnsi="Calibri" w:eastAsia="仿宋_GB2312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eastAsia="仿宋_GB2312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Calibri" w:hAnsi="Calibri" w:eastAsia="仿宋_GB2312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eastAsia="仿宋_GB2312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Calibri" w:hAnsi="Calibri" w:eastAsia="仿宋_GB2312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eastAsia="仿宋_GB2312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Calibri" w:hAnsi="Calibri" w:eastAsia="仿宋_GB2312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Calibri" w:hAnsi="Calibri" w:eastAsia="仿宋_GB2312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eastAsia="仿宋_GB2312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Calibri" w:hAnsi="Calibri" w:eastAsia="仿宋_GB2312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eastAsia="仿宋_GB2312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Calibri" w:hAnsi="Calibri" w:eastAsia="仿宋_GB2312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eastAsia="仿宋_GB2312" w:cs="Calibri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9" w:hRule="atLeast"/>
        </w:trPr>
        <w:tc>
          <w:tcPr>
            <w:tcW w:w="767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9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仿宋_GB2312" w:hAnsi="Times New Roman" w:eastAsia="仿宋_GB2312" w:cs="Times New Roman"/>
                <w:kern w:val="2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5.要求行政机关确认或重新出具已获取信息</w:t>
            </w:r>
          </w:p>
        </w:tc>
        <w:tc>
          <w:tcPr>
            <w:tcW w:w="688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Calibri" w:hAnsi="Calibri" w:eastAsia="仿宋_GB2312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eastAsia="仿宋_GB2312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Calibri" w:hAnsi="Calibri" w:eastAsia="仿宋_GB2312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eastAsia="仿宋_GB2312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Calibri" w:hAnsi="Calibri" w:eastAsia="仿宋_GB2312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eastAsia="仿宋_GB2312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Calibri" w:hAnsi="Calibri" w:eastAsia="仿宋_GB2312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Calibri" w:hAnsi="Calibri" w:eastAsia="仿宋_GB2312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eastAsia="仿宋_GB2312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Calibri" w:hAnsi="Calibri" w:eastAsia="仿宋_GB2312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eastAsia="仿宋_GB2312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Calibri" w:hAnsi="Calibri" w:eastAsia="仿宋_GB2312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eastAsia="仿宋_GB2312" w:cs="Calibri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67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3" w:type="dxa"/>
            <w:vMerge w:val="restart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仿宋_GB2312" w:hAnsi="Times New Roman" w:eastAsia="仿宋_GB2312" w:cs="Times New Roman"/>
                <w:kern w:val="2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（六）其他处理</w:t>
            </w:r>
          </w:p>
        </w:tc>
        <w:tc>
          <w:tcPr>
            <w:tcW w:w="32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仿宋_GB2312" w:hAnsi="Times New Roman" w:eastAsia="仿宋_GB2312" w:cs="Times New Roman"/>
                <w:kern w:val="2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1.申请人无正当理由逾期不补正、行政机关不再处理其政府信息公开申请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Calibri" w:hAnsi="Calibri" w:eastAsia="仿宋_GB2312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eastAsia="仿宋_GB2312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Calibri" w:hAnsi="Calibri" w:eastAsia="仿宋_GB2312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eastAsia="仿宋_GB2312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Calibri" w:hAnsi="Calibri" w:eastAsia="仿宋_GB2312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eastAsia="仿宋_GB2312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Calibri" w:hAnsi="Calibri" w:eastAsia="仿宋_GB2312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Calibri" w:hAnsi="Calibri" w:eastAsia="仿宋_GB2312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eastAsia="仿宋_GB2312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Calibri" w:hAnsi="Calibri" w:eastAsia="仿宋_GB2312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eastAsia="仿宋_GB2312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Calibri" w:hAnsi="Calibri" w:eastAsia="仿宋_GB2312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eastAsia="仿宋_GB2312" w:cs="Calibri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67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仿宋_GB2312" w:hAnsi="Times New Roman" w:eastAsia="仿宋_GB2312" w:cs="Times New Roman"/>
                <w:kern w:val="2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2.申请人逾期未按收费通知要求缴纳费用、行政机关不再处理其政府信息公开申请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Calibri" w:hAnsi="Calibri" w:eastAsia="仿宋_GB2312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eastAsia="仿宋_GB2312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Calibri" w:hAnsi="Calibri" w:eastAsia="仿宋_GB2312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eastAsia="仿宋_GB2312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Calibri" w:hAnsi="Calibri" w:eastAsia="仿宋_GB2312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eastAsia="仿宋_GB2312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Calibri" w:hAnsi="Calibri" w:eastAsia="仿宋_GB2312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Calibri" w:hAnsi="Calibri" w:eastAsia="仿宋_GB2312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eastAsia="仿宋_GB2312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Calibri" w:hAnsi="Calibri" w:eastAsia="仿宋_GB2312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eastAsia="仿宋_GB2312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Calibri" w:hAnsi="Calibri" w:eastAsia="仿宋_GB2312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eastAsia="仿宋_GB2312" w:cs="Calibri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67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仿宋_GB2312" w:hAnsi="Times New Roman" w:eastAsia="仿宋_GB2312" w:cs="Times New Roman"/>
                <w:kern w:val="2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3.其他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Calibri" w:hAnsi="Calibri" w:eastAsia="仿宋_GB2312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eastAsia="仿宋_GB2312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Calibri" w:hAnsi="Calibri" w:eastAsia="仿宋_GB2312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eastAsia="仿宋_GB2312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Calibri" w:hAnsi="Calibri" w:eastAsia="仿宋_GB2312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eastAsia="仿宋_GB2312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Calibri" w:hAnsi="Calibri" w:eastAsia="仿宋_GB2312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Calibri" w:hAnsi="Calibri" w:eastAsia="仿宋_GB2312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eastAsia="仿宋_GB2312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Calibri" w:hAnsi="Calibri" w:eastAsia="仿宋_GB2312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eastAsia="仿宋_GB2312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Calibri" w:hAnsi="Calibri" w:eastAsia="仿宋_GB2312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eastAsia="仿宋_GB2312" w:cs="Calibri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67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2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仿宋_GB2312" w:hAnsi="Times New Roman" w:eastAsia="仿宋_GB2312" w:cs="Times New Roman"/>
                <w:kern w:val="2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（七）总计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Calibri" w:hAnsi="Calibri" w:eastAsia="仿宋_GB2312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eastAsia="仿宋_GB2312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Calibri" w:hAnsi="Calibri" w:eastAsia="仿宋_GB2312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eastAsia="仿宋_GB2312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Calibri" w:hAnsi="Calibri" w:eastAsia="仿宋_GB2312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eastAsia="仿宋_GB2312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Calibri" w:hAnsi="Calibri" w:eastAsia="仿宋_GB2312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Calibri" w:hAnsi="Calibri" w:eastAsia="仿宋_GB2312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eastAsia="仿宋_GB2312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Calibri" w:hAnsi="Calibri" w:eastAsia="仿宋_GB2312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eastAsia="仿宋_GB2312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Calibri" w:hAnsi="Calibri" w:eastAsia="仿宋_GB2312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eastAsia="仿宋_GB2312" w:cs="Calibri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929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仿宋_GB2312" w:hAnsi="Times New Roman" w:eastAsia="仿宋_GB2312" w:cs="Times New Roman"/>
                <w:kern w:val="2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四、结转下年度继续办理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Calibri" w:hAnsi="Calibri" w:eastAsia="仿宋_GB2312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eastAsia="仿宋_GB2312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Calibri" w:hAnsi="Calibri" w:eastAsia="仿宋_GB2312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eastAsia="仿宋_GB2312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Calibri" w:hAnsi="Calibri" w:eastAsia="仿宋_GB2312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eastAsia="仿宋_GB2312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Calibri" w:hAnsi="Calibri" w:eastAsia="仿宋_GB2312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Calibri" w:hAnsi="Calibri" w:eastAsia="仿宋_GB2312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eastAsia="仿宋_GB2312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Calibri" w:hAnsi="Calibri" w:eastAsia="仿宋_GB2312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eastAsia="仿宋_GB2312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Calibri" w:hAnsi="Calibri" w:eastAsia="仿宋_GB2312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eastAsia="仿宋_GB2312" w:cs="Calibri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</w:tr>
    </w:tbl>
    <w:p>
      <w:pPr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320" w:firstLineChars="100"/>
        <w:jc w:val="both"/>
        <w:textAlignment w:val="auto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四、政府信息公开行政复议、行政诉讼情况</w:t>
      </w:r>
    </w:p>
    <w:tbl>
      <w:tblPr>
        <w:tblStyle w:val="3"/>
        <w:tblpPr w:leftFromText="180" w:rightFromText="180" w:vertAnchor="text" w:horzAnchor="page" w:tblpX="1205" w:tblpY="390"/>
        <w:tblOverlap w:val="never"/>
        <w:tblW w:w="9743" w:type="dxa"/>
        <w:tblInd w:w="0" w:type="dxa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49"/>
        <w:gridCol w:w="649"/>
        <w:gridCol w:w="649"/>
        <w:gridCol w:w="649"/>
        <w:gridCol w:w="649"/>
        <w:gridCol w:w="649"/>
        <w:gridCol w:w="649"/>
        <w:gridCol w:w="650"/>
        <w:gridCol w:w="650"/>
        <w:gridCol w:w="650"/>
        <w:gridCol w:w="650"/>
        <w:gridCol w:w="650"/>
        <w:gridCol w:w="650"/>
        <w:gridCol w:w="650"/>
        <w:gridCol w:w="650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245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center"/>
              <w:rPr>
                <w:rFonts w:hint="eastAsia" w:ascii="仿宋_GB2312" w:hAnsi="Times New Roman" w:eastAsia="仿宋_GB2312" w:cs="Times New Roman"/>
                <w:kern w:val="2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行政复议</w:t>
            </w:r>
          </w:p>
        </w:tc>
        <w:tc>
          <w:tcPr>
            <w:tcW w:w="6498" w:type="dxa"/>
            <w:gridSpan w:val="10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center"/>
              <w:rPr>
                <w:rFonts w:hint="eastAsia" w:ascii="仿宋_GB2312" w:hAnsi="Times New Roman" w:eastAsia="仿宋_GB2312" w:cs="Times New Roman"/>
                <w:kern w:val="2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行政诉讼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49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center"/>
              <w:rPr>
                <w:rFonts w:hint="eastAsia" w:ascii="仿宋_GB2312" w:hAnsi="Times New Roman" w:eastAsia="仿宋_GB2312" w:cs="Times New Roman"/>
                <w:kern w:val="2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结果维持</w:t>
            </w:r>
          </w:p>
        </w:tc>
        <w:tc>
          <w:tcPr>
            <w:tcW w:w="649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center"/>
              <w:rPr>
                <w:rFonts w:hint="eastAsia" w:ascii="仿宋_GB2312" w:hAnsi="Times New Roman" w:eastAsia="仿宋_GB2312" w:cs="Times New Roman"/>
                <w:kern w:val="2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结果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纠正</w:t>
            </w:r>
          </w:p>
        </w:tc>
        <w:tc>
          <w:tcPr>
            <w:tcW w:w="649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center"/>
              <w:rPr>
                <w:rFonts w:hint="eastAsia" w:ascii="仿宋_GB2312" w:hAnsi="Times New Roman" w:eastAsia="仿宋_GB2312" w:cs="Times New Roman"/>
                <w:kern w:val="2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其他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结果</w:t>
            </w:r>
          </w:p>
        </w:tc>
        <w:tc>
          <w:tcPr>
            <w:tcW w:w="649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center"/>
              <w:rPr>
                <w:rFonts w:hint="eastAsia" w:ascii="仿宋_GB2312" w:hAnsi="Times New Roman" w:eastAsia="仿宋_GB2312" w:cs="Times New Roman"/>
                <w:kern w:val="2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尚未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审结</w:t>
            </w:r>
          </w:p>
        </w:tc>
        <w:tc>
          <w:tcPr>
            <w:tcW w:w="649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center"/>
              <w:rPr>
                <w:rFonts w:hint="eastAsia" w:ascii="仿宋_GB2312" w:hAnsi="Times New Roman" w:eastAsia="仿宋_GB2312" w:cs="Times New Roman"/>
                <w:kern w:val="2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总计</w:t>
            </w:r>
          </w:p>
        </w:tc>
        <w:tc>
          <w:tcPr>
            <w:tcW w:w="3248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center"/>
              <w:rPr>
                <w:rFonts w:hint="eastAsia" w:ascii="仿宋_GB2312" w:hAnsi="Times New Roman" w:eastAsia="仿宋_GB2312" w:cs="Times New Roman"/>
                <w:kern w:val="2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未经复议直接起诉</w:t>
            </w:r>
          </w:p>
        </w:tc>
        <w:tc>
          <w:tcPr>
            <w:tcW w:w="3250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center"/>
              <w:rPr>
                <w:rFonts w:hint="eastAsia" w:ascii="仿宋_GB2312" w:hAnsi="Times New Roman" w:eastAsia="仿宋_GB2312" w:cs="Times New Roman"/>
                <w:kern w:val="2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复议后起诉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49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9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9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9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9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center"/>
              <w:rPr>
                <w:rFonts w:hint="eastAsia" w:ascii="仿宋_GB2312" w:hAnsi="Times New Roman" w:eastAsia="仿宋_GB2312" w:cs="Times New Roman"/>
                <w:kern w:val="2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结果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维持</w:t>
            </w:r>
          </w:p>
        </w:tc>
        <w:tc>
          <w:tcPr>
            <w:tcW w:w="6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center"/>
              <w:rPr>
                <w:rFonts w:hint="eastAsia" w:ascii="仿宋_GB2312" w:hAnsi="Times New Roman" w:eastAsia="仿宋_GB2312" w:cs="Times New Roman"/>
                <w:kern w:val="2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结果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纠正</w:t>
            </w:r>
          </w:p>
        </w:tc>
        <w:tc>
          <w:tcPr>
            <w:tcW w:w="65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center"/>
              <w:rPr>
                <w:rFonts w:hint="eastAsia" w:ascii="仿宋_GB2312" w:hAnsi="Times New Roman" w:eastAsia="仿宋_GB2312" w:cs="Times New Roman"/>
                <w:kern w:val="2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其他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结果</w:t>
            </w:r>
          </w:p>
        </w:tc>
        <w:tc>
          <w:tcPr>
            <w:tcW w:w="65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center"/>
              <w:rPr>
                <w:rFonts w:hint="eastAsia" w:ascii="仿宋_GB2312" w:hAnsi="Times New Roman" w:eastAsia="仿宋_GB2312" w:cs="Times New Roman"/>
                <w:kern w:val="2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尚未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审结</w:t>
            </w:r>
          </w:p>
        </w:tc>
        <w:tc>
          <w:tcPr>
            <w:tcW w:w="65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center"/>
              <w:rPr>
                <w:rFonts w:hint="eastAsia" w:ascii="仿宋_GB2312" w:hAnsi="Times New Roman" w:eastAsia="仿宋_GB2312" w:cs="Times New Roman"/>
                <w:kern w:val="2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总计</w:t>
            </w:r>
          </w:p>
        </w:tc>
        <w:tc>
          <w:tcPr>
            <w:tcW w:w="65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center"/>
              <w:rPr>
                <w:rFonts w:hint="eastAsia" w:ascii="仿宋_GB2312" w:hAnsi="Times New Roman" w:eastAsia="仿宋_GB2312" w:cs="Times New Roman"/>
                <w:kern w:val="2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结果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维持</w:t>
            </w:r>
          </w:p>
        </w:tc>
        <w:tc>
          <w:tcPr>
            <w:tcW w:w="65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center"/>
              <w:rPr>
                <w:rFonts w:hint="eastAsia" w:ascii="仿宋_GB2312" w:hAnsi="Times New Roman" w:eastAsia="仿宋_GB2312" w:cs="Times New Roman"/>
                <w:kern w:val="2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结果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纠正</w:t>
            </w:r>
          </w:p>
        </w:tc>
        <w:tc>
          <w:tcPr>
            <w:tcW w:w="65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center"/>
              <w:rPr>
                <w:rFonts w:hint="eastAsia" w:ascii="仿宋_GB2312" w:hAnsi="Times New Roman" w:eastAsia="仿宋_GB2312" w:cs="Times New Roman"/>
                <w:kern w:val="2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其他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结果</w:t>
            </w:r>
          </w:p>
        </w:tc>
        <w:tc>
          <w:tcPr>
            <w:tcW w:w="65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center"/>
              <w:rPr>
                <w:rFonts w:hint="eastAsia" w:ascii="仿宋_GB2312" w:hAnsi="Times New Roman" w:eastAsia="仿宋_GB2312" w:cs="Times New Roman"/>
                <w:kern w:val="2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尚未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审结</w:t>
            </w:r>
          </w:p>
        </w:tc>
        <w:tc>
          <w:tcPr>
            <w:tcW w:w="65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center"/>
              <w:rPr>
                <w:rFonts w:hint="eastAsia" w:ascii="仿宋_GB2312" w:hAnsi="Times New Roman" w:eastAsia="仿宋_GB2312" w:cs="Times New Roman"/>
                <w:kern w:val="2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总计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2" w:hRule="atLeast"/>
        </w:trPr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center"/>
              <w:rPr>
                <w:rFonts w:hint="default" w:ascii="仿宋_GB2312" w:hAnsi="Times New Roman" w:eastAsia="仿宋_GB2312" w:cs="Times New Roman"/>
                <w:kern w:val="2"/>
                <w:sz w:val="32"/>
                <w:szCs w:val="32"/>
                <w:lang w:val="en-US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 0</w:t>
            </w:r>
          </w:p>
        </w:tc>
        <w:tc>
          <w:tcPr>
            <w:tcW w:w="6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center"/>
              <w:rPr>
                <w:rFonts w:hint="default" w:ascii="仿宋_GB2312" w:hAnsi="Times New Roman" w:eastAsia="仿宋_GB2312" w:cs="Times New Roman"/>
                <w:kern w:val="2"/>
                <w:sz w:val="32"/>
                <w:szCs w:val="32"/>
                <w:lang w:val="en-US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 0</w:t>
            </w:r>
          </w:p>
        </w:tc>
        <w:tc>
          <w:tcPr>
            <w:tcW w:w="6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center"/>
              <w:rPr>
                <w:rFonts w:hint="default" w:ascii="仿宋_GB2312" w:hAnsi="Times New Roman" w:eastAsia="仿宋_GB2312" w:cs="Times New Roman"/>
                <w:kern w:val="2"/>
                <w:sz w:val="32"/>
                <w:szCs w:val="32"/>
                <w:lang w:val="en-US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 0</w:t>
            </w:r>
          </w:p>
        </w:tc>
        <w:tc>
          <w:tcPr>
            <w:tcW w:w="6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center"/>
              <w:rPr>
                <w:rFonts w:hint="eastAsia" w:ascii="仿宋_GB2312" w:hAnsi="Times New Roman" w:eastAsia="仿宋_GB2312" w:cs="Times New Roman"/>
                <w:kern w:val="2"/>
                <w:sz w:val="32"/>
                <w:szCs w:val="32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0 </w:t>
            </w:r>
          </w:p>
        </w:tc>
        <w:tc>
          <w:tcPr>
            <w:tcW w:w="6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center"/>
              <w:rPr>
                <w:rFonts w:hint="default" w:ascii="仿宋_GB2312" w:hAnsi="Times New Roman" w:eastAsia="仿宋_GB2312" w:cs="Times New Roman"/>
                <w:kern w:val="2"/>
                <w:sz w:val="32"/>
                <w:szCs w:val="32"/>
                <w:lang w:val="en-US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 0</w:t>
            </w:r>
          </w:p>
        </w:tc>
        <w:tc>
          <w:tcPr>
            <w:tcW w:w="6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center"/>
              <w:rPr>
                <w:rFonts w:hint="eastAsia" w:ascii="仿宋_GB2312" w:hAnsi="Times New Roman" w:eastAsia="仿宋_GB2312" w:cs="Times New Roman"/>
                <w:kern w:val="2"/>
                <w:sz w:val="32"/>
                <w:szCs w:val="32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0 </w:t>
            </w:r>
          </w:p>
        </w:tc>
        <w:tc>
          <w:tcPr>
            <w:tcW w:w="6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center"/>
              <w:rPr>
                <w:rFonts w:hint="default" w:ascii="仿宋_GB2312" w:hAnsi="Times New Roman" w:eastAsia="仿宋_GB2312" w:cs="Times New Roman"/>
                <w:kern w:val="2"/>
                <w:sz w:val="32"/>
                <w:szCs w:val="32"/>
                <w:lang w:val="en-US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 0</w:t>
            </w:r>
          </w:p>
        </w:tc>
        <w:tc>
          <w:tcPr>
            <w:tcW w:w="6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center"/>
              <w:rPr>
                <w:rFonts w:hint="eastAsia" w:ascii="仿宋_GB2312" w:hAnsi="Times New Roman" w:eastAsia="仿宋_GB2312" w:cs="Times New Roman"/>
                <w:kern w:val="2"/>
                <w:sz w:val="32"/>
                <w:szCs w:val="32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0 </w:t>
            </w:r>
          </w:p>
        </w:tc>
        <w:tc>
          <w:tcPr>
            <w:tcW w:w="6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center"/>
              <w:rPr>
                <w:rFonts w:hint="default" w:ascii="仿宋_GB2312" w:hAnsi="Times New Roman" w:eastAsia="仿宋_GB2312" w:cs="Times New Roman"/>
                <w:kern w:val="2"/>
                <w:sz w:val="32"/>
                <w:szCs w:val="32"/>
                <w:lang w:val="en-US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 0</w:t>
            </w:r>
          </w:p>
        </w:tc>
        <w:tc>
          <w:tcPr>
            <w:tcW w:w="6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center"/>
              <w:rPr>
                <w:rFonts w:hint="default" w:ascii="仿宋_GB2312" w:hAnsi="Times New Roman" w:eastAsia="仿宋_GB2312" w:cs="Times New Roman"/>
                <w:kern w:val="2"/>
                <w:sz w:val="32"/>
                <w:szCs w:val="32"/>
                <w:lang w:val="en-US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 0</w:t>
            </w:r>
          </w:p>
        </w:tc>
        <w:tc>
          <w:tcPr>
            <w:tcW w:w="6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center"/>
              <w:rPr>
                <w:rFonts w:hint="default" w:ascii="仿宋_GB2312" w:hAnsi="Times New Roman" w:eastAsia="仿宋_GB2312" w:cs="Times New Roman"/>
                <w:kern w:val="2"/>
                <w:sz w:val="32"/>
                <w:szCs w:val="32"/>
                <w:lang w:val="en-US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 0</w:t>
            </w:r>
          </w:p>
        </w:tc>
        <w:tc>
          <w:tcPr>
            <w:tcW w:w="6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center"/>
              <w:rPr>
                <w:rFonts w:hint="default" w:ascii="仿宋_GB2312" w:hAnsi="Times New Roman" w:eastAsia="仿宋_GB2312" w:cs="Times New Roman"/>
                <w:kern w:val="2"/>
                <w:sz w:val="32"/>
                <w:szCs w:val="32"/>
                <w:lang w:val="en-US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 0</w:t>
            </w:r>
          </w:p>
        </w:tc>
        <w:tc>
          <w:tcPr>
            <w:tcW w:w="6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center"/>
              <w:rPr>
                <w:rFonts w:hint="default" w:ascii="仿宋_GB2312" w:hAnsi="Times New Roman" w:eastAsia="仿宋_GB2312" w:cs="Times New Roman"/>
                <w:kern w:val="2"/>
                <w:sz w:val="32"/>
                <w:szCs w:val="32"/>
                <w:lang w:val="en-US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 0</w:t>
            </w:r>
          </w:p>
        </w:tc>
        <w:tc>
          <w:tcPr>
            <w:tcW w:w="6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center"/>
              <w:rPr>
                <w:rFonts w:hint="default" w:ascii="仿宋_GB2312" w:hAnsi="Times New Roman" w:eastAsia="仿宋_GB2312" w:cs="Times New Roman"/>
                <w:kern w:val="2"/>
                <w:sz w:val="32"/>
                <w:szCs w:val="32"/>
                <w:lang w:val="en-US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 0</w:t>
            </w:r>
          </w:p>
        </w:tc>
        <w:tc>
          <w:tcPr>
            <w:tcW w:w="6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Times New Roman" w:eastAsia="仿宋_GB2312" w:cs="Times New Roman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Times New Roman" w:eastAsia="仿宋_GB2312" w:cs="Times New Roman"/>
                <w:kern w:val="2"/>
                <w:sz w:val="24"/>
                <w:szCs w:val="24"/>
                <w:lang w:val="en-US" w:eastAsia="zh-CN"/>
              </w:rPr>
              <w:t>0</w:t>
            </w:r>
          </w:p>
        </w:tc>
      </w:tr>
    </w:tbl>
    <w:p>
      <w:pPr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right="0" w:firstLine="640" w:firstLineChars="200"/>
        <w:jc w:val="both"/>
        <w:textAlignment w:val="auto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五、存在的主要问题及改进情况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0" w:lineRule="atLeast"/>
        <w:ind w:left="0" w:right="0" w:firstLine="645"/>
        <w:textAlignment w:val="center"/>
        <w:rPr>
          <w:rFonts w:hint="default" w:ascii="仿宋_GB2312" w:hAnsi="宋体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上年度存在问题整改落实情况：</w:t>
      </w:r>
      <w:r>
        <w:rPr>
          <w:rFonts w:hint="eastAsia" w:ascii="仿宋_GB2312" w:hAnsi="宋体" w:eastAsia="仿宋_GB2312" w:cs="仿宋_GB2312"/>
          <w:b/>
          <w:bCs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针对</w:t>
      </w:r>
      <w:r>
        <w:rPr>
          <w:rFonts w:ascii="仿宋_GB2312" w:hAnsi="宋体" w:eastAsia="仿宋_GB2312" w:cs="仿宋_GB2312"/>
          <w:b/>
          <w:bCs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主动公开信息不足</w:t>
      </w:r>
      <w:r>
        <w:rPr>
          <w:rFonts w:hint="eastAsia" w:ascii="仿宋_GB2312" w:hAnsi="宋体" w:eastAsia="仿宋_GB2312" w:cs="仿宋_GB2312"/>
          <w:b/>
          <w:bCs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问题：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进一步完善领导组织，加强工作力量，明确了工作职责和专职人员，确保信息按时按质按量及时更新完善，切实做到领导到位、人员明确、制度完备、工作长效。</w:t>
      </w:r>
      <w:r>
        <w:rPr>
          <w:rFonts w:hint="eastAsia" w:ascii="仿宋_GB2312" w:hAnsi="宋体" w:eastAsia="仿宋_GB2312" w:cs="仿宋_GB2312"/>
          <w:b/>
          <w:bCs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针对</w:t>
      </w:r>
      <w:r>
        <w:rPr>
          <w:rFonts w:ascii="仿宋_GB2312" w:hAnsi="宋体" w:eastAsia="仿宋_GB2312" w:cs="仿宋_GB2312"/>
          <w:b/>
          <w:bCs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经办人员工作能力与越来越严格的政府信息公开要求仍有一定差距</w:t>
      </w:r>
      <w:r>
        <w:rPr>
          <w:rFonts w:hint="eastAsia" w:ascii="仿宋_GB2312" w:hAnsi="宋体" w:eastAsia="仿宋_GB2312" w:cs="仿宋_GB2312"/>
          <w:b/>
          <w:bCs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问题：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局党组要求经办人员经常到优秀单位去学习，同时加强对全体干部的政府信息公开工作知识的学习和培训，不断提高政府信息公开工作的质量和水平。</w:t>
      </w:r>
      <w:r>
        <w:rPr>
          <w:rFonts w:hint="eastAsia" w:ascii="仿宋_GB2312" w:hAnsi="宋体" w:eastAsia="仿宋_GB2312" w:cs="仿宋_GB2312"/>
          <w:b/>
          <w:bCs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针对</w:t>
      </w:r>
      <w:r>
        <w:rPr>
          <w:rFonts w:ascii="仿宋_GB2312" w:hAnsi="宋体" w:eastAsia="仿宋_GB2312" w:cs="仿宋_GB2312"/>
          <w:b/>
          <w:bCs/>
          <w:i w:val="0"/>
          <w:iCs w:val="0"/>
          <w:caps w:val="0"/>
          <w:color w:val="000000"/>
          <w:spacing w:val="0"/>
          <w:sz w:val="32"/>
          <w:szCs w:val="32"/>
        </w:rPr>
        <w:t>政策解读质量不高</w:t>
      </w:r>
      <w:r>
        <w:rPr>
          <w:rFonts w:hint="eastAsia" w:ascii="仿宋_GB2312" w:hAnsi="宋体" w:eastAsia="仿宋_GB2312" w:cs="仿宋_GB2312"/>
          <w:b/>
          <w:bCs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问题：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局党组通过文字解读、图片解读、新闻发布会等多种方式，丰富解读形式，以群众喜闻乐见的图片形式开展政策解读，全年公开各类政策解读18条。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0" w:lineRule="atLeast"/>
        <w:ind w:right="0" w:firstLine="640" w:firstLineChars="200"/>
        <w:textAlignment w:val="center"/>
        <w:rPr>
          <w:rFonts w:hint="eastAsia" w:ascii="仿宋_GB2312" w:hAnsi="宋体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_GB2312" w:hAnsi="宋体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本年度存在问题：</w:t>
      </w:r>
      <w:r>
        <w:rPr>
          <w:rFonts w:hint="eastAsia" w:ascii="仿宋_GB2312" w:hAnsi="宋体" w:eastAsia="仿宋_GB2312" w:cs="仿宋_GB2312"/>
          <w:b/>
          <w:bCs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一是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动态类的政府信息公开的时效性还需加强；二</w:t>
      </w:r>
      <w:r>
        <w:rPr>
          <w:rFonts w:hint="eastAsia" w:ascii="仿宋_GB2312" w:hAnsi="宋体" w:eastAsia="仿宋_GB2312" w:cs="仿宋_GB2312"/>
          <w:b/>
          <w:bCs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是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政府信息公开力度</w:t>
      </w:r>
      <w:bookmarkStart w:id="0" w:name="_GoBack"/>
      <w:bookmarkEnd w:id="0"/>
      <w:r>
        <w:rPr>
          <w:rFonts w:hint="eastAsia" w:ascii="仿宋_GB2312" w:hAnsi="宋体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需进一步加大，公开的形式还有待完善、不够丰富，公开形式要多元化，公开渠道多样化。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0" w:lineRule="atLeast"/>
        <w:ind w:left="0" w:right="0" w:firstLine="645"/>
        <w:textAlignment w:val="center"/>
        <w:rPr>
          <w:rFonts w:hint="eastAsia" w:ascii="仿宋_GB2312" w:hAnsi="宋体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_GB2312" w:hAnsi="宋体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下一步改进措施：</w:t>
      </w:r>
      <w:r>
        <w:rPr>
          <w:rFonts w:hint="eastAsia" w:ascii="仿宋_GB2312" w:hAnsi="宋体" w:eastAsia="仿宋_GB2312" w:cs="仿宋_GB2312"/>
          <w:b/>
          <w:bCs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一是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健全和完善政务公开制度。规范信息公开内容，提高公开质量，对涉及人民群众关心的重大问题，重大信息、决策应及时公开，提高公开针对性；二</w:t>
      </w:r>
      <w:r>
        <w:rPr>
          <w:rFonts w:hint="eastAsia" w:ascii="仿宋_GB2312" w:hAnsi="宋体" w:eastAsia="仿宋_GB2312" w:cs="仿宋_GB2312"/>
          <w:b/>
          <w:bCs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是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丰富政府信息公开的内容。坚持“以公开为原则，不公开为特例”的总原则，进一步加大政府信息公开力度，以确保政府信息公开的完整性、全面性和及时性。</w:t>
      </w:r>
    </w:p>
    <w:p>
      <w:pPr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right="0" w:firstLine="640" w:firstLineChars="200"/>
        <w:jc w:val="both"/>
        <w:textAlignment w:val="auto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六、其他需要报告的事项</w:t>
      </w:r>
    </w:p>
    <w:p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right="0" w:firstLine="640" w:firstLineChars="200"/>
        <w:jc w:val="both"/>
        <w:textAlignment w:val="auto"/>
        <w:rPr>
          <w:rFonts w:hint="eastAsia" w:ascii="仿宋_GB2312" w:hAnsi="宋体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_GB2312" w:hAnsi="Times New Roman" w:eastAsia="仿宋_GB2312" w:cs="仿宋_GB2312"/>
          <w:kern w:val="2"/>
          <w:sz w:val="32"/>
          <w:szCs w:val="32"/>
          <w:lang w:val="en-US" w:eastAsia="zh-CN" w:bidi="ar"/>
        </w:rPr>
        <w:t>按照《国务院办公厅关于印发〈政府信息公开信息处理费管理办法〉的通知》（国办函〔2020〕109号）规定的按件、按量收费标准，本年度没有产生信息公开处理费。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E586020"/>
    <w:multiLevelType w:val="singleLevel"/>
    <w:tmpl w:val="AE586020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3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RhMjE3ODZjOTgwOGUxYzljZDliYjBmYmQ1MjRlOTIifQ=="/>
  </w:docVars>
  <w:rsids>
    <w:rsidRoot w:val="00000000"/>
    <w:rsid w:val="00172E78"/>
    <w:rsid w:val="01AB54AD"/>
    <w:rsid w:val="04446205"/>
    <w:rsid w:val="0534627A"/>
    <w:rsid w:val="053A3164"/>
    <w:rsid w:val="056F4ABC"/>
    <w:rsid w:val="069C665E"/>
    <w:rsid w:val="072145DC"/>
    <w:rsid w:val="077F1302"/>
    <w:rsid w:val="08272EEA"/>
    <w:rsid w:val="08E50B6E"/>
    <w:rsid w:val="08FC5665"/>
    <w:rsid w:val="0902518B"/>
    <w:rsid w:val="09880942"/>
    <w:rsid w:val="09C76C6F"/>
    <w:rsid w:val="09EB65C7"/>
    <w:rsid w:val="0A3733AA"/>
    <w:rsid w:val="0BC47C2C"/>
    <w:rsid w:val="0C02165E"/>
    <w:rsid w:val="0C0B13B7"/>
    <w:rsid w:val="0CF005B2"/>
    <w:rsid w:val="0DD3572C"/>
    <w:rsid w:val="0DDA54E4"/>
    <w:rsid w:val="0E680D42"/>
    <w:rsid w:val="0EEE15CF"/>
    <w:rsid w:val="0FB326EA"/>
    <w:rsid w:val="0FBA3604"/>
    <w:rsid w:val="10030B97"/>
    <w:rsid w:val="1158509E"/>
    <w:rsid w:val="11E64458"/>
    <w:rsid w:val="11FF551A"/>
    <w:rsid w:val="12B33874"/>
    <w:rsid w:val="12B96010"/>
    <w:rsid w:val="12D9220E"/>
    <w:rsid w:val="1340403C"/>
    <w:rsid w:val="134C0C32"/>
    <w:rsid w:val="140F5378"/>
    <w:rsid w:val="14AD74AF"/>
    <w:rsid w:val="15604521"/>
    <w:rsid w:val="165C6058"/>
    <w:rsid w:val="167406F6"/>
    <w:rsid w:val="18C33745"/>
    <w:rsid w:val="19542F82"/>
    <w:rsid w:val="1A455777"/>
    <w:rsid w:val="1B19589E"/>
    <w:rsid w:val="1B46240B"/>
    <w:rsid w:val="1B612A51"/>
    <w:rsid w:val="1B825876"/>
    <w:rsid w:val="1B9413C8"/>
    <w:rsid w:val="1B99078D"/>
    <w:rsid w:val="1BEA0FE8"/>
    <w:rsid w:val="1CF2284B"/>
    <w:rsid w:val="1E0465A5"/>
    <w:rsid w:val="1E1C1EE3"/>
    <w:rsid w:val="1EB831D4"/>
    <w:rsid w:val="1F325180"/>
    <w:rsid w:val="1FB817C9"/>
    <w:rsid w:val="20A26336"/>
    <w:rsid w:val="21A1039B"/>
    <w:rsid w:val="21D63ECD"/>
    <w:rsid w:val="2217065D"/>
    <w:rsid w:val="225B49EE"/>
    <w:rsid w:val="23C12F77"/>
    <w:rsid w:val="24C22B02"/>
    <w:rsid w:val="2580476C"/>
    <w:rsid w:val="27EC7E96"/>
    <w:rsid w:val="28920EF1"/>
    <w:rsid w:val="29BB2216"/>
    <w:rsid w:val="29CA2459"/>
    <w:rsid w:val="29F01EC0"/>
    <w:rsid w:val="2A207320"/>
    <w:rsid w:val="2B17347C"/>
    <w:rsid w:val="2BE11973"/>
    <w:rsid w:val="2C046834"/>
    <w:rsid w:val="2C790E34"/>
    <w:rsid w:val="2CB90C8F"/>
    <w:rsid w:val="2CE101E6"/>
    <w:rsid w:val="2DB33930"/>
    <w:rsid w:val="2E40274A"/>
    <w:rsid w:val="2E6764C9"/>
    <w:rsid w:val="2E984D10"/>
    <w:rsid w:val="2EDD678B"/>
    <w:rsid w:val="2F61116A"/>
    <w:rsid w:val="2FAA072A"/>
    <w:rsid w:val="2FC2553B"/>
    <w:rsid w:val="3207424B"/>
    <w:rsid w:val="32843AED"/>
    <w:rsid w:val="32FB3683"/>
    <w:rsid w:val="34BA1A48"/>
    <w:rsid w:val="350607E9"/>
    <w:rsid w:val="3530432C"/>
    <w:rsid w:val="35574D8C"/>
    <w:rsid w:val="360B2B82"/>
    <w:rsid w:val="363E2205"/>
    <w:rsid w:val="36CE3589"/>
    <w:rsid w:val="370A20E7"/>
    <w:rsid w:val="37415715"/>
    <w:rsid w:val="377C1996"/>
    <w:rsid w:val="37BC2B86"/>
    <w:rsid w:val="37FB04E9"/>
    <w:rsid w:val="38CF183A"/>
    <w:rsid w:val="38FC0058"/>
    <w:rsid w:val="39096AFA"/>
    <w:rsid w:val="391E0127"/>
    <w:rsid w:val="3AFF5A36"/>
    <w:rsid w:val="3B352C7D"/>
    <w:rsid w:val="3C3F0A85"/>
    <w:rsid w:val="3C7A1413"/>
    <w:rsid w:val="3D0015AA"/>
    <w:rsid w:val="3DAF5796"/>
    <w:rsid w:val="3E61642A"/>
    <w:rsid w:val="3EB92D70"/>
    <w:rsid w:val="3EC86B10"/>
    <w:rsid w:val="3F890995"/>
    <w:rsid w:val="40302BBE"/>
    <w:rsid w:val="40336737"/>
    <w:rsid w:val="40644F5E"/>
    <w:rsid w:val="4177481D"/>
    <w:rsid w:val="41874A60"/>
    <w:rsid w:val="41A73354"/>
    <w:rsid w:val="444D2373"/>
    <w:rsid w:val="45863281"/>
    <w:rsid w:val="45C83899"/>
    <w:rsid w:val="478F466E"/>
    <w:rsid w:val="47FF0D25"/>
    <w:rsid w:val="48483AD3"/>
    <w:rsid w:val="48C742DC"/>
    <w:rsid w:val="49681C98"/>
    <w:rsid w:val="498B5309"/>
    <w:rsid w:val="49BE748D"/>
    <w:rsid w:val="4B5F6A4E"/>
    <w:rsid w:val="4BC15012"/>
    <w:rsid w:val="4D333749"/>
    <w:rsid w:val="4D904369"/>
    <w:rsid w:val="4E207971"/>
    <w:rsid w:val="4E797520"/>
    <w:rsid w:val="4EB8094F"/>
    <w:rsid w:val="4F4026F2"/>
    <w:rsid w:val="4F93645A"/>
    <w:rsid w:val="50120532"/>
    <w:rsid w:val="501E75D7"/>
    <w:rsid w:val="50423265"/>
    <w:rsid w:val="50724B2D"/>
    <w:rsid w:val="50FD1B28"/>
    <w:rsid w:val="51695F30"/>
    <w:rsid w:val="53D94D6A"/>
    <w:rsid w:val="549C2C56"/>
    <w:rsid w:val="54F2623D"/>
    <w:rsid w:val="56352885"/>
    <w:rsid w:val="5753470C"/>
    <w:rsid w:val="57AD1762"/>
    <w:rsid w:val="59682F71"/>
    <w:rsid w:val="5A750B64"/>
    <w:rsid w:val="5A9F29C3"/>
    <w:rsid w:val="5B8D2603"/>
    <w:rsid w:val="5C7358D8"/>
    <w:rsid w:val="5C82259C"/>
    <w:rsid w:val="5CF7049E"/>
    <w:rsid w:val="5D101956"/>
    <w:rsid w:val="5D7C348F"/>
    <w:rsid w:val="5E282CCF"/>
    <w:rsid w:val="5EC7698C"/>
    <w:rsid w:val="5F69359F"/>
    <w:rsid w:val="602A71D2"/>
    <w:rsid w:val="60563B24"/>
    <w:rsid w:val="60B116A2"/>
    <w:rsid w:val="60D31618"/>
    <w:rsid w:val="61227EAA"/>
    <w:rsid w:val="613B0F6B"/>
    <w:rsid w:val="62E80C7F"/>
    <w:rsid w:val="63500CFE"/>
    <w:rsid w:val="649966D5"/>
    <w:rsid w:val="65115BD3"/>
    <w:rsid w:val="654146F0"/>
    <w:rsid w:val="65426D6C"/>
    <w:rsid w:val="65D06902"/>
    <w:rsid w:val="663C59F0"/>
    <w:rsid w:val="66DB62A8"/>
    <w:rsid w:val="67917B37"/>
    <w:rsid w:val="68232E85"/>
    <w:rsid w:val="6AD2622A"/>
    <w:rsid w:val="6B2A00D0"/>
    <w:rsid w:val="6C2C42D2"/>
    <w:rsid w:val="6C7D272B"/>
    <w:rsid w:val="6CBC5656"/>
    <w:rsid w:val="6CC8224D"/>
    <w:rsid w:val="6DBC79F1"/>
    <w:rsid w:val="6DE24C48"/>
    <w:rsid w:val="6E70494A"/>
    <w:rsid w:val="6EC802E2"/>
    <w:rsid w:val="6F2173FE"/>
    <w:rsid w:val="700370F8"/>
    <w:rsid w:val="70251764"/>
    <w:rsid w:val="70455963"/>
    <w:rsid w:val="70476C49"/>
    <w:rsid w:val="70EB5859"/>
    <w:rsid w:val="713024AB"/>
    <w:rsid w:val="71687B5B"/>
    <w:rsid w:val="71DC5E53"/>
    <w:rsid w:val="7219067C"/>
    <w:rsid w:val="723E654A"/>
    <w:rsid w:val="72FC49FE"/>
    <w:rsid w:val="736810C4"/>
    <w:rsid w:val="73A62B0B"/>
    <w:rsid w:val="73D6524F"/>
    <w:rsid w:val="74395FA7"/>
    <w:rsid w:val="76B61368"/>
    <w:rsid w:val="77903967"/>
    <w:rsid w:val="792B4F71"/>
    <w:rsid w:val="79330A4E"/>
    <w:rsid w:val="797F6B1D"/>
    <w:rsid w:val="79FC3536"/>
    <w:rsid w:val="7A2860D9"/>
    <w:rsid w:val="7A996FD7"/>
    <w:rsid w:val="7AC758F2"/>
    <w:rsid w:val="7AE53FCA"/>
    <w:rsid w:val="7B14665D"/>
    <w:rsid w:val="7CB9294D"/>
    <w:rsid w:val="7D951CD7"/>
    <w:rsid w:val="7DE168F4"/>
    <w:rsid w:val="7E573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autoRedefine/>
    <w:qFormat/>
    <w:uiPriority w:val="0"/>
    <w:rPr>
      <w:b/>
    </w:rPr>
  </w:style>
  <w:style w:type="paragraph" w:customStyle="1" w:styleId="6">
    <w:name w:val="BodyText1I2"/>
    <w:basedOn w:val="7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 w:line="360" w:lineRule="auto"/>
      <w:ind w:left="0" w:right="0" w:firstLine="420" w:firstLineChars="200"/>
      <w:jc w:val="left"/>
    </w:pPr>
    <w:rPr>
      <w:rFonts w:hint="default" w:ascii="Times New Roman" w:hAnsi="Times New Roman" w:eastAsia="宋体" w:cs="Times New Roman"/>
      <w:kern w:val="0"/>
      <w:sz w:val="24"/>
      <w:szCs w:val="24"/>
      <w:lang w:val="en-US" w:eastAsia="zh-CN" w:bidi="ar"/>
    </w:rPr>
  </w:style>
  <w:style w:type="paragraph" w:customStyle="1" w:styleId="7">
    <w:name w:val="BodyTextIndent"/>
    <w:basedOn w:val="1"/>
    <w:qFormat/>
    <w:uiPriority w:val="0"/>
    <w:pPr>
      <w:spacing w:line="360" w:lineRule="auto"/>
      <w:ind w:firstLine="480"/>
      <w:jc w:val="left"/>
    </w:pPr>
    <w:rPr>
      <w:rFonts w:ascii="Calibri" w:hAnsi="Calibri" w:eastAsia="宋体" w:cs="仿宋_GB2312"/>
      <w:kern w:val="0"/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2377</Words>
  <Characters>2488</Characters>
  <Lines>0</Lines>
  <Paragraphs>0</Paragraphs>
  <TotalTime>213</TotalTime>
  <ScaleCrop>false</ScaleCrop>
  <LinksUpToDate>false</LinksUpToDate>
  <CharactersWithSpaces>2707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2021-12-14T10:29:00Z</dcterms:created>
  <dc:creator>Administrator</dc:creator>
  <cp:lastModifiedBy>Administrator</cp:lastModifiedBy>
  <cp:lastPrinted>2023-01-19T10:28:00Z</cp:lastPrinted>
  <dcterms:modified xsi:type="dcterms:W3CDTF">2024-01-25T00:06:24Z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DCED981262364F7A9DF858AC7F193BAC</vt:lpwstr>
  </property>
</Properties>
</file>