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金寨县住房公积金管理部2022年信息</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公开工作年报</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ascii="Calibri" w:hAnsi="Calibri" w:cs="Calibri"/>
          <w:i w:val="0"/>
          <w:iCs w:val="0"/>
          <w:caps w:val="0"/>
          <w:color w:val="333333"/>
          <w:spacing w:val="0"/>
          <w:sz w:val="21"/>
          <w:szCs w:val="21"/>
        </w:rPr>
      </w:pPr>
      <w:r>
        <w:rPr>
          <w:rFonts w:ascii="仿宋" w:hAnsi="仿宋" w:eastAsia="仿宋" w:cs="仿宋"/>
          <w:i w:val="0"/>
          <w:iCs w:val="0"/>
          <w:caps w:val="0"/>
          <w:color w:val="333333"/>
          <w:spacing w:val="0"/>
          <w:sz w:val="32"/>
          <w:szCs w:val="32"/>
          <w:shd w:val="clear" w:fill="FFFFFF"/>
        </w:rPr>
        <w:t>本报告依据《中华人民共和国政府信息公开条例》（国务院令第</w:t>
      </w:r>
      <w:r>
        <w:rPr>
          <w:rFonts w:hint="eastAsia" w:ascii="仿宋" w:hAnsi="仿宋" w:eastAsia="仿宋" w:cs="仿宋"/>
          <w:i w:val="0"/>
          <w:iCs w:val="0"/>
          <w:caps w:val="0"/>
          <w:color w:val="333333"/>
          <w:spacing w:val="0"/>
          <w:sz w:val="32"/>
          <w:szCs w:val="32"/>
          <w:shd w:val="clear" w:fill="FFFFFF"/>
        </w:rPr>
        <w:t>711号，以下简称新《条例》）和《金寨县政务公开办公室关于做好政府信息公开年度报告编制和发布工作的通知》（金政公开〔2023〕1号）文件要求编制而成。报告主要包括：总体情况、主动公开政府信息情况、收到和处理政府信息公开申请情况、政府信息公开行政复议、行政诉讼情况存在的主要问题及改进情况和其他需要报告的事项。本报告中使用数据统计期限为2022年1月1日至2022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ind w:left="0" w:right="0" w:firstLine="0"/>
        <w:jc w:val="both"/>
        <w:textAlignment w:val="auto"/>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12月31日，报告的电子版可在金寨县信息公开网：（https://www.ahjinzhai.gov.cn/public/column/6622685?type=3&amp;action=detail&amp;nav=3&amp;title=2022）下载。如对本报告有任何疑问，请与金寨县住房公积金管理部联系（地址：金寨江店金梧桐创业园行政服务中心三楼住房公积金窗口，联系电话：0564-7065588，传真号码：0564-7065588；邮政编码：237300）。</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1"/>
          <w:szCs w:val="21"/>
        </w:rPr>
      </w:pPr>
      <w:r>
        <w:rPr>
          <w:rFonts w:ascii="黑体" w:hAnsi="宋体" w:eastAsia="黑体" w:cs="黑体"/>
          <w:i w:val="0"/>
          <w:iCs w:val="0"/>
          <w:caps w:val="0"/>
          <w:color w:val="333333"/>
          <w:spacing w:val="0"/>
          <w:sz w:val="32"/>
          <w:szCs w:val="32"/>
          <w:shd w:val="clear" w:fill="FFFFFF"/>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2022年，金寨县住房公积金管理部按照《六安市人民政府办公室关于印发六安市2022年政务公开重点工作任务分工的通知》逐步开展政务公开各项工作，进一步提高住房公积金工作的透明度。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ascii="楷体" w:hAnsi="楷体" w:eastAsia="楷体" w:cs="楷体"/>
          <w:i w:val="0"/>
          <w:iCs w:val="0"/>
          <w:caps w:val="0"/>
          <w:color w:val="333333"/>
          <w:spacing w:val="0"/>
          <w:sz w:val="32"/>
          <w:szCs w:val="32"/>
          <w:shd w:val="clear" w:fill="FFFFFF"/>
        </w:rPr>
        <w:t>（一）主动公开情况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坚持把群众最关注、最需要了解的公积金事项作为政务公开工作的重点，不断丰富公开内容和形式，进一步提升信息公开质量，2022年金寨县住房公积金管理部共计发布信息122条。</w:t>
      </w:r>
      <w:r>
        <w:rPr>
          <w:rFonts w:hint="eastAsia" w:ascii="仿宋" w:hAnsi="仿宋" w:eastAsia="仿宋" w:cs="仿宋"/>
          <w:b/>
          <w:bCs/>
          <w:i w:val="0"/>
          <w:iCs w:val="0"/>
          <w:caps w:val="0"/>
          <w:color w:val="333333"/>
          <w:spacing w:val="0"/>
          <w:sz w:val="32"/>
          <w:szCs w:val="32"/>
          <w:shd w:val="clear" w:fill="FFFFFF"/>
        </w:rPr>
        <w:t>一是及时有效公开。</w:t>
      </w:r>
      <w:r>
        <w:rPr>
          <w:rFonts w:hint="eastAsia" w:ascii="仿宋" w:hAnsi="仿宋" w:eastAsia="仿宋" w:cs="仿宋"/>
          <w:i w:val="0"/>
          <w:iCs w:val="0"/>
          <w:caps w:val="0"/>
          <w:color w:val="333333"/>
          <w:spacing w:val="0"/>
          <w:sz w:val="32"/>
          <w:szCs w:val="32"/>
          <w:shd w:val="clear" w:fill="FFFFFF"/>
        </w:rPr>
        <w:t>按月公开全市住房公积金缴存、提取、贷款等资金运行情况，按月公开其他权利结果，提升我部工作透明度。</w:t>
      </w:r>
      <w:r>
        <w:rPr>
          <w:rFonts w:hint="eastAsia" w:ascii="仿宋" w:hAnsi="仿宋" w:eastAsia="仿宋" w:cs="仿宋"/>
          <w:b/>
          <w:bCs/>
          <w:i w:val="0"/>
          <w:iCs w:val="0"/>
          <w:caps w:val="0"/>
          <w:color w:val="333333"/>
          <w:spacing w:val="0"/>
          <w:sz w:val="32"/>
          <w:szCs w:val="32"/>
          <w:shd w:val="clear" w:fill="FFFFFF"/>
        </w:rPr>
        <w:t>二是完善政策解读。</w:t>
      </w:r>
      <w:r>
        <w:rPr>
          <w:rFonts w:hint="eastAsia" w:ascii="仿宋" w:hAnsi="仿宋" w:eastAsia="仿宋" w:cs="仿宋"/>
          <w:i w:val="0"/>
          <w:iCs w:val="0"/>
          <w:caps w:val="0"/>
          <w:color w:val="333333"/>
          <w:spacing w:val="0"/>
          <w:sz w:val="32"/>
          <w:szCs w:val="32"/>
          <w:shd w:val="clear" w:fill="FFFFFF"/>
        </w:rPr>
        <w:t>从决策背景和依据、制定意义和总体考虑、研判和起草过程、工作目标、政策内容、保障措施、创新举措和下一步工作等多方面内容进行详细解读，并在政策公布的三日内予以公开。</w:t>
      </w:r>
      <w:r>
        <w:rPr>
          <w:rFonts w:hint="eastAsia" w:ascii="仿宋" w:hAnsi="仿宋" w:eastAsia="仿宋" w:cs="仿宋"/>
          <w:b/>
          <w:bCs/>
          <w:i w:val="0"/>
          <w:iCs w:val="0"/>
          <w:caps w:val="0"/>
          <w:color w:val="333333"/>
          <w:spacing w:val="0"/>
          <w:sz w:val="32"/>
          <w:szCs w:val="32"/>
          <w:shd w:val="clear" w:fill="FFFFFF"/>
        </w:rPr>
        <w:t>三是回应社会热点</w:t>
      </w:r>
      <w:r>
        <w:rPr>
          <w:rFonts w:hint="eastAsia" w:ascii="仿宋" w:hAnsi="仿宋" w:eastAsia="仿宋" w:cs="仿宋"/>
          <w:i w:val="0"/>
          <w:iCs w:val="0"/>
          <w:caps w:val="0"/>
          <w:color w:val="333333"/>
          <w:spacing w:val="0"/>
          <w:sz w:val="32"/>
          <w:szCs w:val="32"/>
          <w:shd w:val="clear" w:fill="FFFFFF"/>
        </w:rPr>
        <w:t>。着重关注12345市长热线、书记信箱等栏目，针对一定时期内社会关注、群众关心或反映比较强烈的住房公积金热点、难点事项，主动向社会回应公开。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楷体" w:hAnsi="楷体" w:eastAsia="楷体" w:cs="楷体"/>
          <w:i w:val="0"/>
          <w:iCs w:val="0"/>
          <w:caps w:val="0"/>
          <w:color w:val="333333"/>
          <w:spacing w:val="0"/>
          <w:sz w:val="32"/>
          <w:szCs w:val="32"/>
          <w:shd w:val="clear" w:fill="FFFFFF"/>
        </w:rPr>
        <w:t>（二）依申请公开情况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2022年，按照上级要求规范完善依申请公开流程，明确收费标准，畅通申请渠道，确保合法合规。全年共收到依申请公开事项0件，未发生因政府信息公开引起行政复议、行政诉讼案件。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楷体" w:hAnsi="楷体" w:eastAsia="楷体" w:cs="楷体"/>
          <w:i w:val="0"/>
          <w:iCs w:val="0"/>
          <w:caps w:val="0"/>
          <w:color w:val="333333"/>
          <w:spacing w:val="0"/>
          <w:sz w:val="32"/>
          <w:szCs w:val="32"/>
          <w:shd w:val="clear" w:fill="FFFFFF"/>
        </w:rPr>
        <w:t>（三）监督保障情况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为保障政务公开工作顺利开展，我部实行主要领导亲自抓，分管领导具体抓的工作机制，由主要领导对政务公开工作进行细化分解。我部定期组织召开政务公开工作会议，专题研究政务公开工作的重要内容，对省、市、县测评反馈的问题及时下发任务整改，并监督整改到位，以保证政府信息公开网站信息的及时更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000000"/>
          <w:spacing w:val="0"/>
          <w:sz w:val="32"/>
          <w:szCs w:val="32"/>
          <w:shd w:val="clear" w:fill="FFFFFF"/>
        </w:rPr>
        <w:t>二、主动公开政府信息情况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Calibri" w:hAnsi="Calibri" w:cs="Calibr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tbl>
      <w:tblPr>
        <w:tblStyle w:val="4"/>
        <w:tblW w:w="9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51"/>
        <w:gridCol w:w="2382"/>
        <w:gridCol w:w="2412"/>
        <w:gridCol w:w="22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jc w:val="center"/>
        </w:trPr>
        <w:tc>
          <w:tcPr>
            <w:tcW w:w="927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280"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信息内容</w:t>
            </w:r>
          </w:p>
        </w:tc>
        <w:tc>
          <w:tcPr>
            <w:tcW w:w="2355"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本年</w:t>
            </w:r>
            <w:r>
              <w:rPr>
                <w:rFonts w:hint="eastAsia" w:ascii="宋体" w:hAnsi="宋体" w:eastAsia="宋体" w:cs="宋体"/>
                <w:color w:val="333333"/>
                <w:sz w:val="20"/>
                <w:szCs w:val="20"/>
              </w:rPr>
              <w:t>制发件数</w:t>
            </w:r>
          </w:p>
        </w:tc>
        <w:tc>
          <w:tcPr>
            <w:tcW w:w="2355"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本年废止件数</w:t>
            </w:r>
          </w:p>
        </w:tc>
        <w:tc>
          <w:tcPr>
            <w:tcW w:w="2010"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现行有效件</w:t>
            </w:r>
            <w:r>
              <w:rPr>
                <w:rFonts w:hint="eastAsia" w:ascii="宋体" w:hAnsi="宋体" w:eastAsia="宋体" w:cs="宋体"/>
                <w:color w:val="333333"/>
                <w:sz w:val="20"/>
                <w:szCs w:val="20"/>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9" w:hRule="atLeast"/>
          <w:jc w:val="center"/>
        </w:trPr>
        <w:tc>
          <w:tcPr>
            <w:tcW w:w="2280"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color w:val="000000"/>
                <w:sz w:val="20"/>
                <w:szCs w:val="20"/>
              </w:rPr>
              <w:t>规章</w:t>
            </w:r>
          </w:p>
        </w:tc>
        <w:tc>
          <w:tcPr>
            <w:tcW w:w="235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0  </w:t>
            </w:r>
          </w:p>
        </w:tc>
        <w:tc>
          <w:tcPr>
            <w:tcW w:w="235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0  </w:t>
            </w:r>
          </w:p>
        </w:tc>
        <w:tc>
          <w:tcPr>
            <w:tcW w:w="2010"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280"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color w:val="000000"/>
                <w:sz w:val="20"/>
                <w:szCs w:val="20"/>
              </w:rPr>
              <w:t>行政规范性文件</w:t>
            </w:r>
          </w:p>
        </w:tc>
        <w:tc>
          <w:tcPr>
            <w:tcW w:w="235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0  </w:t>
            </w:r>
          </w:p>
        </w:tc>
        <w:tc>
          <w:tcPr>
            <w:tcW w:w="238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0  </w:t>
            </w:r>
          </w:p>
        </w:tc>
        <w:tc>
          <w:tcPr>
            <w:tcW w:w="202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27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信息内容</w:t>
            </w:r>
          </w:p>
        </w:tc>
        <w:tc>
          <w:tcPr>
            <w:tcW w:w="685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color w:val="000000"/>
                <w:sz w:val="20"/>
                <w:szCs w:val="20"/>
              </w:rPr>
              <w:t>行政许可</w:t>
            </w:r>
          </w:p>
        </w:tc>
        <w:tc>
          <w:tcPr>
            <w:tcW w:w="685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default" w:ascii="Calibri" w:hAnsi="Calibri" w:cs="Calibri"/>
                <w:color w:val="333333"/>
                <w:sz w:val="21"/>
                <w:szCs w:val="21"/>
              </w:rPr>
              <w:t>                                  </w:t>
            </w:r>
            <w:r>
              <w:rPr>
                <w:rFonts w:hint="eastAsia" w:ascii="仿宋" w:hAnsi="仿宋" w:eastAsia="仿宋" w:cs="仿宋"/>
                <w:color w:val="333333"/>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27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信息内容</w:t>
            </w:r>
          </w:p>
        </w:tc>
        <w:tc>
          <w:tcPr>
            <w:tcW w:w="6855" w:type="dxa"/>
            <w:gridSpan w:val="3"/>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4"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color w:val="000000"/>
                <w:sz w:val="20"/>
                <w:szCs w:val="20"/>
              </w:rPr>
              <w:t>行政处罚</w:t>
            </w:r>
          </w:p>
        </w:tc>
        <w:tc>
          <w:tcPr>
            <w:tcW w:w="685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color w:val="000000"/>
                <w:sz w:val="20"/>
                <w:szCs w:val="20"/>
              </w:rPr>
              <w:t>行政强制</w:t>
            </w:r>
          </w:p>
        </w:tc>
        <w:tc>
          <w:tcPr>
            <w:tcW w:w="685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27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信息内容</w:t>
            </w:r>
          </w:p>
        </w:tc>
        <w:tc>
          <w:tcPr>
            <w:tcW w:w="685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2325"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color w:val="000000"/>
                <w:sz w:val="20"/>
                <w:szCs w:val="20"/>
              </w:rPr>
              <w:t>行政事业性收费</w:t>
            </w:r>
          </w:p>
        </w:tc>
        <w:tc>
          <w:tcPr>
            <w:tcW w:w="691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4"/>
                <w:szCs w:val="24"/>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32"/>
          <w:szCs w:val="32"/>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640" w:right="0" w:firstLine="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000000"/>
          <w:spacing w:val="0"/>
          <w:sz w:val="32"/>
          <w:szCs w:val="32"/>
          <w:shd w:val="clear" w:fill="FFFFFF"/>
        </w:rPr>
        <w:t>三、收到和处理政府信息公开申请情况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default" w:ascii="Calibri" w:hAnsi="Calibri" w:cs="Calibr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tbl>
      <w:tblPr>
        <w:tblStyle w:val="4"/>
        <w:tblW w:w="97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7"/>
        <w:gridCol w:w="943"/>
        <w:gridCol w:w="3219"/>
        <w:gridCol w:w="688"/>
        <w:gridCol w:w="688"/>
        <w:gridCol w:w="688"/>
        <w:gridCol w:w="688"/>
        <w:gridCol w:w="688"/>
        <w:gridCol w:w="688"/>
        <w:gridCol w:w="6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929" w:type="dxa"/>
            <w:gridSpan w:val="3"/>
            <w:vMerge w:val="restart"/>
            <w:tcBorders>
              <w:top w:val="single" w:color="auto" w:sz="8" w:space="0"/>
              <w:left w:val="single" w:color="auto" w:sz="8" w:space="0"/>
              <w:bottom w:val="inset"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楷体" w:hAnsi="楷体" w:eastAsia="楷体" w:cs="楷体"/>
                <w:color w:val="333333"/>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inset"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88" w:type="dxa"/>
            <w:vMerge w:val="restart"/>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自然人</w:t>
            </w:r>
          </w:p>
        </w:tc>
        <w:tc>
          <w:tcPr>
            <w:tcW w:w="3440" w:type="dxa"/>
            <w:gridSpan w:val="5"/>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法人或其他组织</w:t>
            </w:r>
          </w:p>
        </w:tc>
        <w:tc>
          <w:tcPr>
            <w:tcW w:w="688" w:type="dxa"/>
            <w:vMerge w:val="restart"/>
            <w:tcBorders>
              <w:top w:val="single" w:color="auto" w:sz="8" w:space="0"/>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929" w:type="dxa"/>
            <w:gridSpan w:val="3"/>
            <w:vMerge w:val="continue"/>
            <w:tcBorders>
              <w:top w:val="single" w:color="auto" w:sz="8" w:space="0"/>
              <w:left w:val="single" w:color="auto" w:sz="8" w:space="0"/>
              <w:bottom w:val="inset"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88" w:type="dxa"/>
            <w:vMerge w:val="continue"/>
            <w:tcBorders>
              <w:top w:val="nil"/>
              <w:left w:val="nil"/>
              <w:bottom w:val="single"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商业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企业</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科研</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机构</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社会公益组织</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法律服务机构</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其他</w:t>
            </w:r>
          </w:p>
        </w:tc>
        <w:tc>
          <w:tcPr>
            <w:tcW w:w="688" w:type="dxa"/>
            <w:vMerge w:val="continue"/>
            <w:tcBorders>
              <w:top w:val="single" w:color="auto" w:sz="8" w:space="0"/>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一、本年新收政府信息公开申请数量</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default" w:ascii="Calibri" w:hAnsi="Calibri" w:eastAsia="宋体" w:cs="Calibri"/>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default" w:ascii="Calibri" w:hAnsi="Calibri" w:eastAsia="宋体" w:cs="Calibri"/>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二、上年结转政府信息公开申请数量</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restart"/>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三、本年度办理结果</w:t>
            </w:r>
          </w:p>
        </w:tc>
        <w:tc>
          <w:tcPr>
            <w:tcW w:w="4162"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（一）予以公开</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default" w:ascii="Calibri" w:hAnsi="Calibri" w:eastAsia="宋体" w:cs="Calibri"/>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r>
              <w:rPr>
                <w:rFonts w:hint="default" w:ascii="Calibri" w:hAnsi="Calibri" w:cs="Calibri"/>
                <w:color w:val="333333"/>
                <w:sz w:val="20"/>
                <w:szCs w:val="20"/>
              </w:rPr>
              <w:t> </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eastAsia="宋体" w:cs="Calibri"/>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（二）部分公开</w:t>
            </w:r>
            <w:r>
              <w:rPr>
                <w:rFonts w:hint="eastAsia" w:ascii="楷体" w:hAnsi="楷体" w:eastAsia="楷体" w:cs="楷体"/>
                <w:color w:val="333333"/>
                <w:sz w:val="20"/>
                <w:szCs w:val="20"/>
              </w:rPr>
              <w:t>（区分处理的，只计这一情形，不计其他情形）</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（三）不予公开</w:t>
            </w: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1.属于国家秘密</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2.其他法律行政法规禁止公开</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3.危及“三安全一稳定”</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4.保护第三方合法权益</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5.属于三类内部事务信息</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6.属于四类过程性信息</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7.属于行政执法案卷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8.属于行政查询事项</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（四）无法提供</w:t>
            </w: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1.本机关不掌握相关政府信息</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2.没有现成信息需要另行制作</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3.补正后申请内容仍不明确</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（五）不予处理</w:t>
            </w: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1.信访举报投诉类申请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2.重复申请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3.要求提供公开出版物</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4.无正当理由大量反复申请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5.要求行政机关确认或重新出具已获取信息</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restart"/>
            <w:tcBorders>
              <w:top w:val="nil"/>
              <w:left w:val="nil"/>
              <w:bottom w:val="inset"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（六）其他处理</w:t>
            </w:r>
          </w:p>
        </w:tc>
        <w:tc>
          <w:tcPr>
            <w:tcW w:w="3219"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943" w:type="dxa"/>
            <w:vMerge w:val="continue"/>
            <w:tcBorders>
              <w:top w:val="nil"/>
              <w:left w:val="nil"/>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3219"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3.其他</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inset" w:color="auto" w:sz="8" w:space="0"/>
              <w:right w:val="single" w:color="auto" w:sz="8" w:space="0"/>
            </w:tcBorders>
            <w:shd w:val="clear" w:color="auto" w:fill="FFFFFF"/>
            <w:tcMar>
              <w:left w:w="57" w:type="dxa"/>
              <w:right w:w="57" w:type="dxa"/>
            </w:tcMar>
            <w:vAlign w:val="center"/>
          </w:tcPr>
          <w:p>
            <w:pPr>
              <w:rPr>
                <w:rFonts w:hint="default" w:ascii="Times New Roman" w:hAnsi="Times New Roman" w:cs="Times New Roman"/>
                <w:sz w:val="20"/>
                <w:szCs w:val="20"/>
              </w:rPr>
            </w:pPr>
          </w:p>
        </w:tc>
        <w:tc>
          <w:tcPr>
            <w:tcW w:w="4162"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（七）总计</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四、结转下年度继续办理</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0</w:t>
            </w:r>
            <w:r>
              <w:rPr>
                <w:rFonts w:hint="default" w:ascii="Calibri" w:hAnsi="Calibri" w:cs="Calibri"/>
                <w:color w:val="333333"/>
                <w:sz w:val="20"/>
                <w:szCs w:val="20"/>
              </w:rPr>
              <w:t> </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仿宋" w:hAnsi="仿宋" w:eastAsia="仿宋" w:cs="仿宋"/>
                <w:color w:val="333333"/>
                <w:sz w:val="20"/>
                <w:szCs w:val="20"/>
              </w:rPr>
              <w:t>0</w:t>
            </w:r>
          </w:p>
        </w:tc>
        <w:tc>
          <w:tcPr>
            <w:tcW w:w="688"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0"/>
                <w:szCs w:val="20"/>
              </w:rPr>
              <w:t>2</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Calibri" w:hAnsi="Calibri" w:cs="Calibr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640" w:right="0" w:firstLine="0"/>
        <w:jc w:val="both"/>
        <w:rPr>
          <w:rFonts w:hint="default" w:ascii="Calibri" w:hAnsi="Calibri" w:cs="Calibri"/>
          <w:i w:val="0"/>
          <w:iCs w:val="0"/>
          <w:caps w:val="0"/>
          <w:color w:val="333333"/>
          <w:spacing w:val="0"/>
          <w:sz w:val="21"/>
          <w:szCs w:val="21"/>
        </w:rPr>
      </w:pPr>
      <w:r>
        <w:rPr>
          <w:rFonts w:hint="eastAsia" w:ascii="黑体" w:hAnsi="宋体" w:eastAsia="黑体" w:cs="黑体"/>
          <w:i w:val="0"/>
          <w:iCs w:val="0"/>
          <w:caps w:val="0"/>
          <w:color w:val="000000"/>
          <w:spacing w:val="0"/>
          <w:sz w:val="32"/>
          <w:szCs w:val="32"/>
          <w:shd w:val="clear" w:fill="FFFFFF"/>
        </w:rPr>
        <w:t>四、政府信息公开行政复议、行政诉讼情况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Calibri" w:hAnsi="Calibri" w:cs="Calibr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 </w:t>
      </w:r>
    </w:p>
    <w:tbl>
      <w:tblPr>
        <w:tblStyle w:val="4"/>
        <w:tblW w:w="97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0"/>
        <w:gridCol w:w="650"/>
        <w:gridCol w:w="650"/>
        <w:gridCol w:w="650"/>
        <w:gridCol w:w="6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行政复议</w:t>
            </w:r>
          </w:p>
        </w:tc>
        <w:tc>
          <w:tcPr>
            <w:tcW w:w="6498" w:type="dxa"/>
            <w:gridSpan w:val="10"/>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结果维持</w:t>
            </w:r>
          </w:p>
        </w:tc>
        <w:tc>
          <w:tcPr>
            <w:tcW w:w="649"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纠正</w:t>
            </w:r>
          </w:p>
        </w:tc>
        <w:tc>
          <w:tcPr>
            <w:tcW w:w="649"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tc>
        <w:tc>
          <w:tcPr>
            <w:tcW w:w="649"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审结</w:t>
            </w:r>
          </w:p>
        </w:tc>
        <w:tc>
          <w:tcPr>
            <w:tcW w:w="649"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总计</w:t>
            </w:r>
          </w:p>
        </w:tc>
        <w:tc>
          <w:tcPr>
            <w:tcW w:w="3248" w:type="dxa"/>
            <w:gridSpan w:val="5"/>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未经复议直接起诉</w:t>
            </w:r>
          </w:p>
        </w:tc>
        <w:tc>
          <w:tcPr>
            <w:tcW w:w="3250" w:type="dxa"/>
            <w:gridSpan w:val="5"/>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rPr>
                <w:rFonts w:hint="default" w:ascii="Times New Roman" w:hAnsi="Times New Roman" w:cs="Times New Roman"/>
                <w:sz w:val="20"/>
                <w:szCs w:val="20"/>
              </w:rPr>
            </w:pP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维持</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纠正</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审结</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总计</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维持</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纠正</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结果</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333333"/>
                <w:sz w:val="20"/>
                <w:szCs w:val="20"/>
              </w:rPr>
              <w:t>审结</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0"/>
                <w:szCs w:val="2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黑体" w:hAnsi="宋体" w:eastAsia="黑体" w:cs="黑体"/>
                <w:color w:val="333333"/>
                <w:sz w:val="20"/>
                <w:szCs w:val="20"/>
              </w:rPr>
              <w:t>0</w:t>
            </w:r>
            <w:r>
              <w:rPr>
                <w:rFonts w:hint="eastAsia" w:ascii="宋体" w:hAnsi="宋体" w:eastAsia="宋体" w:cs="宋体"/>
                <w:color w:val="333333"/>
                <w:sz w:val="20"/>
                <w:szCs w:val="20"/>
              </w:rPr>
              <w:t> </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黑体" w:hAnsi="宋体" w:eastAsia="黑体" w:cs="黑体"/>
                <w:color w:val="333333"/>
                <w:sz w:val="20"/>
                <w:szCs w:val="20"/>
              </w:rPr>
              <w:t>0</w:t>
            </w:r>
            <w:r>
              <w:rPr>
                <w:rFonts w:hint="eastAsia" w:ascii="宋体" w:hAnsi="宋体" w:eastAsia="宋体" w:cs="宋体"/>
                <w:color w:val="333333"/>
                <w:sz w:val="20"/>
                <w:szCs w:val="20"/>
              </w:rPr>
              <w:t> </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default" w:ascii="Calibri" w:hAnsi="Calibri" w:cs="Calibri"/>
                <w:color w:val="333333"/>
                <w:sz w:val="20"/>
                <w:szCs w:val="20"/>
              </w:rPr>
              <w:t> </w:t>
            </w:r>
            <w:r>
              <w:rPr>
                <w:rFonts w:hint="eastAsia" w:ascii="黑体" w:hAnsi="宋体" w:eastAsia="黑体" w:cs="黑体"/>
                <w:color w:val="333333"/>
                <w:sz w:val="20"/>
                <w:szCs w:val="20"/>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333333"/>
                <w:sz w:val="24"/>
                <w:szCs w:val="24"/>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Calibri" w:hAnsi="Calibri" w:cs="Calibri"/>
          <w:i w:val="0"/>
          <w:iCs w:val="0"/>
          <w:caps w:val="0"/>
          <w:color w:val="333333"/>
          <w:spacing w:val="0"/>
          <w:sz w:val="21"/>
          <w:szCs w:val="21"/>
        </w:rPr>
      </w:pPr>
      <w:r>
        <w:rPr>
          <w:rFonts w:hint="default" w:ascii="Calibri" w:hAnsi="Calibri" w:cs="Calibri"/>
          <w:i w:val="0"/>
          <w:iCs w:val="0"/>
          <w:caps w:val="0"/>
          <w:color w:val="333333"/>
          <w:spacing w:val="0"/>
          <w:sz w:val="32"/>
          <w:szCs w:val="32"/>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2022年，金寨县住房公积金管理部政务公开工作稳步推进，但仍存在一些不足和问题：一是政策解读质量不高，存在形式化解读的问题；二是部分信息未能第一时间公开，存在滞后现象。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针对以上问题，我部将从以下方面进行改进：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一是提升政务公开质效。加强对政策背景、出台目的、重要举措等方面的实质性解读，讲明讲透政策内涵；丰富政策解读形式，运用简明问答、图表图解、卡通动漫等多元化形式和生动灵活的语言解读政策；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二是提升政务公开合力。加大政务信息公开制度的执行力度，强化各科室之间密切配合，力求政务信息在最短的时间内予以公开。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default" w:ascii="Calibri" w:hAnsi="Calibri" w:cs="Calibri"/>
          <w:i w:val="0"/>
          <w:iCs w:val="0"/>
          <w:caps w:val="0"/>
          <w:color w:val="333333"/>
          <w:spacing w:val="0"/>
          <w:sz w:val="24"/>
          <w:szCs w:val="24"/>
        </w:rPr>
      </w:pPr>
      <w:r>
        <w:rPr>
          <w:rFonts w:hint="eastAsia" w:ascii="仿宋" w:hAnsi="仿宋" w:eastAsia="仿宋" w:cs="仿宋"/>
          <w:i w:val="0"/>
          <w:iCs w:val="0"/>
          <w:caps w:val="0"/>
          <w:color w:val="333333"/>
          <w:spacing w:val="0"/>
          <w:sz w:val="32"/>
          <w:szCs w:val="32"/>
          <w:shd w:val="clear" w:fill="FFFFFF"/>
        </w:rPr>
        <w:t>下一步，金寨县住房公积金管理部将严格遵循市政务公开办公室的统一部署和要求，进一步加大政务公开工作力度，定期进行自我检查与整改，认真抓好每一项工作任务，不断增强政务公开工作实效。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4"/>
          <w:szCs w:val="24"/>
        </w:rPr>
      </w:pPr>
      <w:r>
        <w:rPr>
          <w:rFonts w:hint="eastAsia" w:ascii="黑体" w:hAnsi="宋体" w:eastAsia="黑体" w:cs="黑体"/>
          <w:i w:val="0"/>
          <w:iCs w:val="0"/>
          <w:caps w:val="0"/>
          <w:color w:val="333333"/>
          <w:spacing w:val="0"/>
          <w:sz w:val="32"/>
          <w:szCs w:val="32"/>
          <w:shd w:val="clear" w:fill="FFFFFF"/>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按照《国务院办公厅关于印发〈政府信息公开信息处理费管理办法〉的通知》（国办函〔2020〕109号）规定的按件、按量收费标准，2022年度我部未产生信息公开处理费。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5D1F35"/>
    <w:rsid w:val="3F1916BE"/>
    <w:rsid w:val="4F5417C3"/>
    <w:rsid w:val="68CD31DF"/>
    <w:rsid w:val="74BF5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2284</Words>
  <Characters>2416</Characters>
  <Lines>0</Lines>
  <Paragraphs>0</Paragraphs>
  <TotalTime>5</TotalTime>
  <ScaleCrop>false</ScaleCrop>
  <LinksUpToDate>false</LinksUpToDate>
  <CharactersWithSpaces>2649</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2024-02-21T02:48:00Z</dcterms:created>
  <dc:creator>wanghuang</dc:creator>
  <cp:lastModifiedBy>白小黑</cp:lastModifiedBy>
  <dcterms:modified xsi:type="dcterms:W3CDTF">2024-02-21T03:11:14Z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43B989EAA0CC4958AA64E48DE0DD78F3</vt:lpwstr>
  </property>
</Properties>
</file>