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48"/>
          <w:szCs w:val="48"/>
          <w:shd w:val="clear" w:fill="FFFFFF"/>
          <w:lang w:eastAsia="zh-CN"/>
        </w:rPr>
        <w:t>金寨县城乡规划服务中心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48"/>
          <w:szCs w:val="48"/>
          <w:shd w:val="clear" w:fill="FFFFFF"/>
        </w:rPr>
        <w:t>2023年政府信息公开工作年度报告</w:t>
      </w:r>
    </w:p>
    <w:p>
      <w:pPr>
        <w:pStyle w:val="5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333333"/>
          <w:sz w:val="32"/>
          <w:szCs w:val="32"/>
          <w:shd w:val="clear" w:color="auto" w:fill="FFFFFF"/>
          <w:lang w:bidi="ar"/>
        </w:rPr>
        <w:t>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据新修订《中华人民共和国政府信息公开条例》（以下简称《条例》），结合上级有关文件精神等要求，编制202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度金寨县城乡规划服务中心信息公开年度报告。全文包括总体情况、主动公开政府信息情况、收到和处理政府信息公开申请情况、政府信息公开行政复议和行政诉讼情况、存在的主要问题及改进情况、其他需要报告的事项。本年度报告中使用数据统计期限为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年1月1日至202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12月31日，本年度报告电子版可在金寨县城乡规划服务中心信息公开平台下载。如对本报告有任何疑问，请与金寨县城乡规划服务中心联系（地址：金寨县新城区莲花山路；邮编：237300；联系电话：0564-2716306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一、总体情况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（一）主动公开情况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Times New Roman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深入推进重点工作落实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。根据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市、县政务公开办要求，认真做好国土空间空间详细规划、专项规划、“多规合一”实用性村庄规划等领域信息公开。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在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中心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网站上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及时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公开规划信息、规划公示、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机构领导、公共服务清单和中介服务清单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经费预算决算决策预公开，主动公开政务信息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105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条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Times New Roman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持续提升政策发布质效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。针对规划内容，由单位主要负责人进行政策解读，年度内召开新闻发布会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1场，发布负责人解读5件，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深入介绍政策背景、主要内容、落实措施及工作进展，主动向群众解疑释惑，积极引导社会预期。此外本单位也积极探索多元化政策解读形式，发布图片以及媒体解3篇，提升政策落实成效。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依申请公开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right="0" w:rightChars="0" w:firstLine="640" w:firstLineChars="20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根据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依申请公开办理制度，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规范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依申请公开事项办理流程，及时做好线上和线下依申请公开答复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，同步做好中心依申请公开受理、登记、批转、答复等归档工作。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2023年度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收到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依申请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公开申请数量为0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件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leftChars="0" w:right="0" w:firstLine="640" w:firstLineChars="0"/>
        <w:jc w:val="both"/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政府信息管理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针对政府信息公开工作，我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中心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成立了“网络安全和信息化工作领导小组”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主要负责人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任组长、分管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负责人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任副组长并指定专人负责政府信息公开工作，在强化审查流程的同时也压实了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中心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各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股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室责任。真正做到“涉密信息不上网、上网信息不涉密”和“谁办理、谁提供、谁负责”坚持“一事一审、先审查、后公开”的要求，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确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保发布内容的准确性、严谨性。按照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县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政府统一安排，认真开展规范性文件常态化清理工作。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（四）政府信息公开平台建设情况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认真贯彻落实相关政策规范要求，不断完善网站集约化平台功能，强化内容建设，增进政府信息公开深度，细化政府信息公开力度。积极维护信息公开平台，不断健全组织机制，规范公开流程，加强信息发布、审核把关，确保政务信息发布的及时、有效。在金寨县人民政府网、金寨县城乡规划服务中心信息公开平台上，将机构领导、机构简介、人事信息、规划计划、财政预决算、招标采购、监督保障等重点领域信息在网站公开。公开内容丰富，服务对象可随时通过网站查询相应信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（五）监督保障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中心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将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政务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信息公开工作纳入各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股室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工作考核，严格落实登记备案与周巡查、月排查、季报告的管理制度，定期开展对门户网站自查、整改、梳理工作，明确了运转程序和办理责任，加强网站安全监管，确保网站稳定运行。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根据市、县季度性政务公开监测反馈的问题清单，做好问题整改，反馈整改报告，提升信息发布质量。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2023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年，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本单位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积极主动接受社会评议，未发生相关责任人责任追究问题情况。</w:t>
      </w:r>
    </w:p>
    <w:p>
      <w:pPr>
        <w:pStyle w:val="9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宋体" w:hAnsi="宋体" w:eastAsia="宋体" w:cs="宋体"/>
          <w:color w:val="auto"/>
          <w:szCs w:val="24"/>
          <w:highlight w:val="none"/>
          <w:u w:val="none" w:color="auto"/>
          <w:shd w:val="clear" w:color="auto" w:fill="auto"/>
        </w:rPr>
      </w:pPr>
      <w:r>
        <w:rPr>
          <w:rFonts w:hint="eastAsia" w:ascii="宋体" w:hAnsi="宋体" w:eastAsia="宋体" w:cs="宋体"/>
          <w:b/>
          <w:color w:val="auto"/>
          <w:szCs w:val="24"/>
          <w:highlight w:val="none"/>
          <w:u w:val="none" w:color="auto"/>
          <w:shd w:val="clear" w:color="auto" w:fill="auto"/>
        </w:rPr>
        <w:t>二、主动公开政府信息情况</w:t>
      </w:r>
    </w:p>
    <w:tbl>
      <w:tblPr>
        <w:tblStyle w:val="8"/>
        <w:tblW w:w="97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</w:tbl>
    <w:p>
      <w:pPr>
        <w:widowControl/>
        <w:jc w:val="left"/>
        <w:rPr>
          <w:color w:val="auto"/>
          <w:highlight w:val="none"/>
          <w:u w:val="none" w:color="auto"/>
          <w:shd w:val="clear" w:color="auto" w:fill="auto"/>
        </w:rPr>
      </w:pPr>
    </w:p>
    <w:p>
      <w:pPr>
        <w:pStyle w:val="9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宋体" w:hAnsi="宋体" w:eastAsia="宋体" w:cs="宋体"/>
          <w:color w:val="auto"/>
          <w:szCs w:val="24"/>
          <w:highlight w:val="none"/>
          <w:u w:val="none" w:color="auto"/>
          <w:shd w:val="clear" w:color="auto" w:fill="auto"/>
        </w:rPr>
      </w:pPr>
      <w:r>
        <w:rPr>
          <w:rFonts w:hint="eastAsia" w:ascii="宋体" w:hAnsi="宋体" w:eastAsia="宋体" w:cs="宋体"/>
          <w:b/>
          <w:color w:val="auto"/>
          <w:szCs w:val="24"/>
          <w:highlight w:val="none"/>
          <w:u w:val="none" w:color="auto"/>
          <w:shd w:val="clear" w:color="auto" w:fill="auto"/>
        </w:rPr>
        <w:t>三、收到和处理政府信息公开申请情况</w:t>
      </w:r>
    </w:p>
    <w:p>
      <w:pPr>
        <w:pStyle w:val="9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宋体" w:hAnsi="宋体" w:eastAsia="宋体" w:cs="宋体"/>
          <w:color w:val="auto"/>
          <w:szCs w:val="24"/>
          <w:highlight w:val="none"/>
          <w:u w:val="none" w:color="auto"/>
          <w:shd w:val="clear" w:color="auto" w:fill="auto"/>
        </w:rPr>
      </w:pPr>
    </w:p>
    <w:tbl>
      <w:tblPr>
        <w:tblStyle w:val="8"/>
        <w:tblW w:w="974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楷体" w:hAnsi="楷体" w:eastAsia="楷体" w:cs="楷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商业</w:t>
            </w:r>
          </w:p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科研</w:t>
            </w:r>
          </w:p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（二）部分公开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 w:eastAsia="宋体"/>
                <w:color w:val="auto"/>
                <w:highlight w:val="none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.危及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三安全一稳定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default" w:ascii="Calibri" w:hAnsi="Calibri" w:cs="Calibri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top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hint="default" w:ascii="宋体" w:hAnsi="宋体" w:eastAsia="宋体" w:cs="宋体"/>
          <w:color w:val="auto"/>
          <w:sz w:val="24"/>
          <w:szCs w:val="24"/>
          <w:highlight w:val="none"/>
          <w:u w:val="none" w:color="auto"/>
          <w:shd w:val="clear" w:color="auto" w:fill="auto"/>
        </w:rPr>
      </w:pPr>
    </w:p>
    <w:p>
      <w:pPr>
        <w:pStyle w:val="9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宋体" w:hAnsi="宋体" w:eastAsia="宋体" w:cs="宋体"/>
          <w:color w:val="auto"/>
          <w:szCs w:val="24"/>
          <w:highlight w:val="none"/>
          <w:u w:val="none" w:color="auto"/>
          <w:shd w:val="clear" w:color="auto" w:fill="auto"/>
        </w:rPr>
      </w:pPr>
      <w:r>
        <w:rPr>
          <w:rFonts w:hint="eastAsia" w:ascii="宋体" w:hAnsi="宋体" w:eastAsia="宋体" w:cs="宋体"/>
          <w:b/>
          <w:color w:val="auto"/>
          <w:szCs w:val="24"/>
          <w:highlight w:val="none"/>
          <w:u w:val="none" w:color="auto"/>
          <w:shd w:val="clear" w:color="auto" w:fill="auto"/>
        </w:rPr>
        <w:t>四、政府信息公开行政复议、行政诉讼情况</w:t>
      </w:r>
    </w:p>
    <w:p>
      <w:pPr>
        <w:widowControl/>
        <w:shd w:val="clear" w:color="auto" w:fill="FFFFFF"/>
        <w:jc w:val="center"/>
        <w:rPr>
          <w:rFonts w:hint="default" w:ascii="宋体" w:hAnsi="宋体" w:eastAsia="宋体" w:cs="宋体"/>
          <w:color w:val="auto"/>
          <w:sz w:val="24"/>
          <w:szCs w:val="24"/>
          <w:highlight w:val="none"/>
          <w:u w:val="none" w:color="auto"/>
          <w:shd w:val="clear" w:color="auto" w:fill="auto"/>
        </w:rPr>
      </w:pPr>
    </w:p>
    <w:tbl>
      <w:tblPr>
        <w:tblStyle w:val="8"/>
        <w:tblW w:w="974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auto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/>
                <w:color w:val="auto"/>
                <w:sz w:val="24"/>
                <w:szCs w:val="24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 w:color="auto"/>
                <w:shd w:val="clear" w:color="auto" w:fill="auto"/>
                <w:lang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pStyle w:val="5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</w:t>
      </w: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）上年度存在问题整改情况。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针对信息公开信息内容缺乏持续性、个别栏目出现信息更新不及时，我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中心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积极组织开展针对性业务培训，是认真学习相关业务知识和制度要求，着重提高政务公开经办股室的业务素质，以便更好地开展政府信息公开工作。同时进一步加大信息公开力度，做到应公开尽公开，及时全面公开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）存在的主要问题</w:t>
      </w:r>
      <w:r>
        <w:rPr>
          <w:rFonts w:hint="eastAsia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一是针对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规划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管理工作专业性强、部分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文件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公开告知内容群众不易理解的问题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。二是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经办人员对政务公开平台操作有待于提高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default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）改进措施</w:t>
      </w:r>
      <w:r>
        <w:rPr>
          <w:rFonts w:hint="eastAsia" w:ascii="楷体_GB2312" w:hAnsi="Times New Roman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一是优化网站功能。调整公开信息分类，规范网站栏目设置，增强界面辨识层次，进一步完善告知说明性内容，采用通俗语言说明专业问题，全力做好公开服务工作。二是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定期组织召开政务公开平台操作培训，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优化发布机制。实现主动公开信息发布到网站相应栏目，对相关栏目内容更新的新要求仍需进一步熟悉和提高。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按照《国务院办公厅关于印发〈政府信息公开信息处理费管理办法〉的通知》（国办函〔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2020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〕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109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号）规定的按件、按量收费标准，我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中心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本年度没有产生信息公开处理费。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1260" w:firstLine="640"/>
        <w:jc w:val="right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金寨县城乡规划服务中心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1260" w:firstLine="640"/>
        <w:jc w:val="righ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2024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1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22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宋体S-超大字符集(SIP)">
    <w:altName w:val="宋体"/>
    <w:panose1 w:val="03000509000000000000"/>
    <w:charset w:val="86"/>
    <w:family w:val="auto"/>
    <w:pitch w:val="default"/>
    <w:sig w:usb0="00000000" w:usb1="0000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0B4A8"/>
    <w:multiLevelType w:val="singleLevel"/>
    <w:tmpl w:val="65B0B4A8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C509C"/>
    <w:rsid w:val="071B0F2E"/>
    <w:rsid w:val="07EF2187"/>
    <w:rsid w:val="0AF31E65"/>
    <w:rsid w:val="0EB11715"/>
    <w:rsid w:val="10925660"/>
    <w:rsid w:val="1155739B"/>
    <w:rsid w:val="126F38EC"/>
    <w:rsid w:val="22F13EB9"/>
    <w:rsid w:val="24070EDF"/>
    <w:rsid w:val="2CD30439"/>
    <w:rsid w:val="319C4160"/>
    <w:rsid w:val="355B2877"/>
    <w:rsid w:val="37117C95"/>
    <w:rsid w:val="46BA46B7"/>
    <w:rsid w:val="47457FFF"/>
    <w:rsid w:val="4863623C"/>
    <w:rsid w:val="4BDD74DB"/>
    <w:rsid w:val="4CD0027F"/>
    <w:rsid w:val="533216CD"/>
    <w:rsid w:val="58094021"/>
    <w:rsid w:val="65625088"/>
    <w:rsid w:val="6985045A"/>
    <w:rsid w:val="6BCB37ED"/>
    <w:rsid w:val="6FF71C1F"/>
    <w:rsid w:val="73FD1F03"/>
    <w:rsid w:val="74F3096D"/>
    <w:rsid w:val="769B75C7"/>
    <w:rsid w:val="7FFC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firstLine="420" w:firstLineChars="200"/>
    </w:pPr>
    <w:rPr>
      <w:rFonts w:ascii="Times New Roman" w:hAnsi="Times New Roman" w:cs="Times New Roman"/>
      <w:sz w:val="24"/>
      <w:szCs w:val="24"/>
    </w:rPr>
  </w:style>
  <w:style w:type="paragraph" w:customStyle="1" w:styleId="3">
    <w:name w:val="BodyTextIndent"/>
    <w:basedOn w:val="1"/>
    <w:qFormat/>
    <w:uiPriority w:val="0"/>
    <w:pPr>
      <w:spacing w:line="360" w:lineRule="auto"/>
      <w:ind w:firstLine="480"/>
      <w:jc w:val="left"/>
    </w:pPr>
    <w:rPr>
      <w:rFonts w:ascii="Calibri" w:hAnsi="Calibri" w:eastAsia="宋体" w:cs="仿宋_GB2312"/>
      <w:kern w:val="0"/>
      <w:sz w:val="20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hAnsi="Times New Roman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</dc:creator>
  <cp:lastModifiedBy>gyb1</cp:lastModifiedBy>
  <dcterms:modified xsi:type="dcterms:W3CDTF">2024-01-26T04:07:36Z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