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652" w:lineRule="atLeast"/>
        <w:ind w:left="0" w:right="0" w:firstLine="0"/>
        <w:jc w:val="center"/>
        <w:rPr>
          <w:rFonts w:hint="eastAsia" w:ascii="微软雅黑" w:hAnsi="微软雅黑" w:eastAsia="微软雅黑" w:cs="微软雅黑"/>
          <w:b w:val="0"/>
          <w:bCs w:val="0"/>
          <w:i w:val="0"/>
          <w:iCs w:val="0"/>
          <w:caps w:val="0"/>
          <w:color w:val="000000"/>
          <w:spacing w:val="0"/>
          <w:sz w:val="40"/>
          <w:szCs w:val="40"/>
        </w:rPr>
      </w:pPr>
      <w:r>
        <w:rPr>
          <w:rFonts w:hint="eastAsia" w:ascii="微软雅黑" w:hAnsi="微软雅黑" w:eastAsia="微软雅黑" w:cs="微软雅黑"/>
          <w:b w:val="0"/>
          <w:bCs w:val="0"/>
          <w:i w:val="0"/>
          <w:iCs w:val="0"/>
          <w:caps w:val="0"/>
          <w:color w:val="000000"/>
          <w:spacing w:val="0"/>
          <w:sz w:val="40"/>
          <w:szCs w:val="40"/>
          <w:bdr w:val="none" w:color="auto" w:sz="0" w:space="0"/>
          <w:shd w:val="clear" w:fill="FFFFFF"/>
        </w:rPr>
        <w:t>金寨县文化旅游体育局2023年政府信息公开工作年度报告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ascii="Calibri" w:hAnsi="Calibri" w:cs="Calibri"/>
          <w:i w:val="0"/>
          <w:iCs w:val="0"/>
          <w:caps w:val="0"/>
          <w:color w:val="333333"/>
          <w:spacing w:val="0"/>
          <w:sz w:val="21"/>
          <w:szCs w:val="21"/>
        </w:rPr>
      </w:pPr>
      <w:bookmarkStart w:id="0" w:name="_GoBack"/>
      <w:bookmarkEnd w:id="0"/>
      <w:r>
        <w:rPr>
          <w:rFonts w:ascii="仿宋_GB2312" w:hAnsi="Calibri" w:eastAsia="仿宋_GB2312" w:cs="仿宋_GB2312"/>
          <w:i w:val="0"/>
          <w:iCs w:val="0"/>
          <w:caps w:val="0"/>
          <w:color w:val="333333"/>
          <w:spacing w:val="0"/>
          <w:sz w:val="32"/>
          <w:szCs w:val="32"/>
          <w:bdr w:val="none" w:color="auto" w:sz="0" w:space="0"/>
          <w:shd w:val="clear" w:fill="FFFFFF"/>
        </w:rPr>
        <w:t>本报告依据《中华人民共和国政府信息公开条例》（国务院令第</w:t>
      </w:r>
      <w:r>
        <w:rPr>
          <w:rFonts w:hint="eastAsia" w:ascii="仿宋_GB2312" w:hAnsi="Calibri" w:eastAsia="仿宋_GB2312" w:cs="仿宋_GB2312"/>
          <w:i w:val="0"/>
          <w:iCs w:val="0"/>
          <w:caps w:val="0"/>
          <w:color w:val="333333"/>
          <w:spacing w:val="0"/>
          <w:sz w:val="32"/>
          <w:szCs w:val="32"/>
          <w:bdr w:val="none" w:color="auto" w:sz="0" w:space="0"/>
          <w:shd w:val="clear" w:fill="FFFFFF"/>
        </w:rPr>
        <w:t>711号，以下简称（新《条例》）》)和《关于做好2023年度政府信息公开工作年度报告编制和发布的通知》（金政公开〔2024〕1号）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2023年1月1日至12月31日，报告的电子版可在金寨县人民政府网站政务公开栏目  https://www.ahjinzhai.gov.cn/public/column/6596541?type=4&amp;action=list&amp;nav=3&amp;catId=7058401查看、下载。如对本报告有任何疑问，请与金寨县文化旅游体育局办公室联系（地址：金寨县江店新城区江环北路金寨县文化中心三楼，电话：0564--7356638，邮编：237321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0" w:right="0" w:firstLine="48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6"/>
          <w:szCs w:val="36"/>
          <w:bdr w:val="none" w:color="auto" w:sz="0" w:space="0"/>
          <w:shd w:val="clear" w:fill="FFFFFF"/>
        </w:rPr>
        <w:t>一、</w:t>
      </w:r>
      <w:r>
        <w:rPr>
          <w:rFonts w:hint="eastAsia" w:ascii="黑体" w:hAnsi="宋体" w:eastAsia="黑体" w:cs="黑体"/>
          <w:i w:val="0"/>
          <w:iCs w:val="0"/>
          <w:caps w:val="0"/>
          <w:color w:val="333333"/>
          <w:spacing w:val="0"/>
          <w:sz w:val="36"/>
          <w:szCs w:val="36"/>
          <w:bdr w:val="none" w:color="auto" w:sz="0" w:space="0"/>
          <w:shd w:val="clear" w:fill="FFFFFF"/>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2023年，我局认真贯彻落实《条例》和省市县政府信息公开有关工作要求，紧扣政务公开重点工作任务，不断夯实政府信息公开标准化规范化基础，着力提高工作透明度，切实增强人民群众满意度、获得感，政府信息公开工作的质量和水平得到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ascii="楷体" w:hAnsi="楷体" w:eastAsia="楷体" w:cs="楷体"/>
          <w:b/>
          <w:bCs/>
          <w:i w:val="0"/>
          <w:iCs w:val="0"/>
          <w:caps w:val="0"/>
          <w:color w:val="333333"/>
          <w:spacing w:val="0"/>
          <w:sz w:val="32"/>
          <w:szCs w:val="32"/>
          <w:bdr w:val="none" w:color="auto" w:sz="0" w:space="0"/>
          <w:shd w:val="clear" w:fill="FFFFFF"/>
        </w:rPr>
        <w:t>（一）主动公开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我局加强政务公开标准化规范化建设，紧紧围绕中心工作和人民群众关注关切，全面推动文化体育旅游领域公开，使人民群众获取文化体育旅游领域政务信息更加方便快捷。</w:t>
      </w:r>
      <w:r>
        <w:rPr>
          <w:rFonts w:hint="eastAsia" w:ascii="仿宋_GB2312" w:hAnsi="Calibri" w:eastAsia="仿宋_GB2312" w:cs="仿宋_GB2312"/>
          <w:i w:val="0"/>
          <w:iCs w:val="0"/>
          <w:caps w:val="0"/>
          <w:color w:val="000000"/>
          <w:spacing w:val="0"/>
          <w:sz w:val="32"/>
          <w:szCs w:val="32"/>
          <w:bdr w:val="none" w:color="auto" w:sz="0" w:space="0"/>
          <w:shd w:val="clear" w:fill="FFFFFF"/>
        </w:rPr>
        <w:t>一是加强民生领域政务公开。以群众关心、社会关注、与群众利益密切的重要事项为重点，完善公共文化服务栏目，及时公开并更新金寨县公共文化机构免费开放信息40余条、公益性文化体育旅游活动等信息50余条，对社会热点和群众关切的文体旅问题，主动快速公开，正面回应关切。二是加强行政权力运行结果公开。全面公开我局权力</w:t>
      </w:r>
      <w:r>
        <w:rPr>
          <w:rFonts w:hint="eastAsia" w:ascii="仿宋_GB2312" w:hAnsi="Calibri" w:eastAsia="仿宋_GB2312" w:cs="仿宋_GB2312"/>
          <w:i w:val="0"/>
          <w:iCs w:val="0"/>
          <w:caps w:val="0"/>
          <w:color w:val="333333"/>
          <w:spacing w:val="0"/>
          <w:sz w:val="32"/>
          <w:szCs w:val="32"/>
          <w:bdr w:val="none" w:color="auto" w:sz="0" w:space="0"/>
          <w:shd w:val="clear" w:fill="FFFFFF"/>
        </w:rPr>
        <w:t>清单和责任清单，实行动态管理，对照法律法规规章，按时更新《金寨县文化旅游体育局权责事项清单》，方便公众获取、监督。2023年累计主动公开信息</w:t>
      </w:r>
      <w:r>
        <w:rPr>
          <w:rFonts w:hint="eastAsia" w:ascii="仿宋_GB2312" w:hAnsi="Calibri" w:eastAsia="仿宋_GB2312" w:cs="仿宋_GB2312"/>
          <w:i w:val="0"/>
          <w:iCs w:val="0"/>
          <w:caps w:val="0"/>
          <w:color w:val="000000"/>
          <w:spacing w:val="0"/>
          <w:sz w:val="32"/>
          <w:szCs w:val="32"/>
          <w:bdr w:val="none" w:color="auto" w:sz="0" w:space="0"/>
          <w:shd w:val="clear" w:fill="FFFFFF"/>
        </w:rPr>
        <w:t>565</w:t>
      </w:r>
      <w:r>
        <w:rPr>
          <w:rFonts w:hint="eastAsia" w:ascii="仿宋_GB2312" w:hAnsi="Calibri" w:eastAsia="仿宋_GB2312" w:cs="仿宋_GB2312"/>
          <w:i w:val="0"/>
          <w:iCs w:val="0"/>
          <w:caps w:val="0"/>
          <w:color w:val="333333"/>
          <w:spacing w:val="0"/>
          <w:sz w:val="32"/>
          <w:szCs w:val="32"/>
          <w:bdr w:val="none" w:color="auto" w:sz="0" w:space="0"/>
          <w:shd w:val="clear" w:fill="FFFFFF"/>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2023年，我局共收到政府信息依申请公开申请2件，办结2件，未出现因政府信息公开被申请行政复议、提起行政诉讼和接受行政申诉、举报的情况。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县文旅体育局高度重视政务公开工作，通过明确分管领导分管政务公开工作，办公室工作人员负责政务公开具体工作，确保信息发布准确、安全、高效，严格落实信息发布审核制度，执行“分级审核、先审后发”程序，促进政务公开工作走上制度化、规范化的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一、加强对基层政务公开标准化规范化平台信息的更新和维护，及时公开。二、加强对我局微信公众号“金寨微旅游”的管理维护，并有专人负责。定期发布本单位相关动态及政府信息，针对网友的咨询、留言及时回复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一是组织做好信息公开业务培训。根据上级要求，组织相关工作人员参加专题培训，围绕政务公开工作重点，结合本局各科室、二级机构工作实际，不断增强办理人员的政务公开意识和水平，提升办理效率</w:t>
      </w:r>
      <w:r>
        <w:rPr>
          <w:rFonts w:hint="eastAsia" w:ascii="仿宋_GB2312" w:hAnsi="Calibri" w:eastAsia="仿宋_GB2312" w:cs="仿宋_GB2312"/>
          <w:i w:val="0"/>
          <w:iCs w:val="0"/>
          <w:caps w:val="0"/>
          <w:color w:val="3D3D3D"/>
          <w:spacing w:val="0"/>
          <w:sz w:val="24"/>
          <w:szCs w:val="24"/>
          <w:bdr w:val="none" w:color="auto" w:sz="0" w:space="0"/>
          <w:shd w:val="clear" w:fill="FFFFFF"/>
        </w:rPr>
        <w:t>。</w:t>
      </w:r>
      <w:r>
        <w:rPr>
          <w:rFonts w:hint="eastAsia" w:ascii="仿宋_GB2312" w:hAnsi="Calibri" w:eastAsia="仿宋_GB2312" w:cs="仿宋_GB2312"/>
          <w:i w:val="0"/>
          <w:iCs w:val="0"/>
          <w:caps w:val="0"/>
          <w:color w:val="333333"/>
          <w:spacing w:val="0"/>
          <w:sz w:val="32"/>
          <w:szCs w:val="32"/>
          <w:bdr w:val="none" w:color="auto" w:sz="0" w:space="0"/>
          <w:shd w:val="clear" w:fill="FFFFFF"/>
        </w:rPr>
        <w:t>二是以信息公开日常监测为契机，加强问题自查自纠，推动政务公开工作落实。局办公室发挥统筹协调作用，不断强化部门联动，巡查梳理存在的问题，明确整改责任清单，推动各项任务在时间节点前顺利完成。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0" w:right="0" w:firstLine="48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8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23"/>
        <w:gridCol w:w="2124"/>
        <w:gridCol w:w="2124"/>
        <w:gridCol w:w="2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2435" w:type="dxa"/>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w:t>
            </w:r>
            <w:r>
              <w:rPr>
                <w:rFonts w:hint="eastAsia" w:ascii="宋体" w:hAnsi="宋体" w:eastAsia="宋体" w:cs="宋体"/>
                <w:sz w:val="20"/>
                <w:szCs w:val="20"/>
                <w:bdr w:val="none" w:color="auto" w:sz="0" w:space="0"/>
              </w:rPr>
              <w:t>制发件数</w:t>
            </w:r>
          </w:p>
        </w:tc>
        <w:tc>
          <w:tcPr>
            <w:tcW w:w="2435" w:type="dxa"/>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本年废止件数</w:t>
            </w:r>
          </w:p>
        </w:tc>
        <w:tc>
          <w:tcPr>
            <w:tcW w:w="2435" w:type="dxa"/>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现行有效件</w:t>
            </w:r>
            <w:r>
              <w:rPr>
                <w:rFonts w:hint="eastAsia" w:ascii="宋体" w:hAnsi="宋体" w:eastAsia="宋体" w:cs="宋体"/>
                <w:sz w:val="20"/>
                <w:szCs w:val="20"/>
                <w:bdr w:val="none" w:color="auto" w:sz="0" w:space="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规章</w:t>
            </w:r>
          </w:p>
        </w:tc>
        <w:tc>
          <w:tcPr>
            <w:tcW w:w="2435"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行政规范性文件</w:t>
            </w:r>
          </w:p>
        </w:tc>
        <w:tc>
          <w:tcPr>
            <w:tcW w:w="2435"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2435"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FF"/>
                <w:sz w:val="20"/>
                <w:szCs w:val="20"/>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行政许可</w:t>
            </w:r>
          </w:p>
        </w:tc>
        <w:tc>
          <w:tcPr>
            <w:tcW w:w="7305" w:type="dxa"/>
            <w:gridSpan w:val="3"/>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7305" w:type="dxa"/>
            <w:gridSpan w:val="3"/>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行政处罚</w:t>
            </w:r>
          </w:p>
        </w:tc>
        <w:tc>
          <w:tcPr>
            <w:tcW w:w="7305" w:type="dxa"/>
            <w:gridSpan w:val="3"/>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行政强制</w:t>
            </w:r>
          </w:p>
        </w:tc>
        <w:tc>
          <w:tcPr>
            <w:tcW w:w="7305" w:type="dxa"/>
            <w:gridSpan w:val="3"/>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9" w:hRule="atLeast"/>
          <w:jc w:val="center"/>
        </w:trPr>
        <w:tc>
          <w:tcPr>
            <w:tcW w:w="2435" w:type="dxa"/>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行政事业性收费</w:t>
            </w:r>
          </w:p>
        </w:tc>
        <w:tc>
          <w:tcPr>
            <w:tcW w:w="7305" w:type="dxa"/>
            <w:gridSpan w:val="3"/>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0" w:right="0" w:firstLine="48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929" w:type="dxa"/>
            <w:gridSpan w:val="3"/>
            <w:vMerge w:val="restart"/>
            <w:tcBorders>
              <w:top w:val="single" w:color="auto" w:sz="6" w:space="0"/>
              <w:left w:val="single" w:color="auto" w:sz="6" w:space="0"/>
              <w:bottom w:val="outset" w:color="auto" w:sz="5"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楷体" w:hAnsi="楷体" w:eastAsia="楷体" w:cs="楷体"/>
                <w:sz w:val="20"/>
                <w:szCs w:val="20"/>
                <w:bdr w:val="none" w:color="auto" w:sz="0" w:space="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929" w:type="dxa"/>
            <w:gridSpan w:val="3"/>
            <w:vMerge w:val="continue"/>
            <w:tcBorders>
              <w:top w:val="single" w:color="auto" w:sz="6" w:space="0"/>
              <w:left w:val="single" w:color="auto" w:sz="6" w:space="0"/>
              <w:bottom w:val="outset" w:color="auto" w:sz="5"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自然人</w:t>
            </w:r>
          </w:p>
        </w:tc>
        <w:tc>
          <w:tcPr>
            <w:tcW w:w="3440" w:type="dxa"/>
            <w:gridSpan w:val="5"/>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法人或其他组织</w:t>
            </w:r>
          </w:p>
        </w:tc>
        <w:tc>
          <w:tcPr>
            <w:tcW w:w="688" w:type="dxa"/>
            <w:vMerge w:val="restart"/>
            <w:tcBorders>
              <w:top w:val="single" w:color="auto" w:sz="6" w:space="0"/>
              <w:left w:val="nil"/>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929" w:type="dxa"/>
            <w:gridSpan w:val="3"/>
            <w:vMerge w:val="continue"/>
            <w:tcBorders>
              <w:top w:val="single" w:color="auto" w:sz="6" w:space="0"/>
              <w:left w:val="single" w:color="auto" w:sz="6" w:space="0"/>
              <w:bottom w:val="outset" w:color="auto" w:sz="5"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企业</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机构</w:t>
            </w:r>
          </w:p>
        </w:tc>
        <w:tc>
          <w:tcPr>
            <w:tcW w:w="688" w:type="dxa"/>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社会公益组织</w:t>
            </w:r>
          </w:p>
        </w:tc>
        <w:tc>
          <w:tcPr>
            <w:tcW w:w="688" w:type="dxa"/>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法律服务机构</w:t>
            </w:r>
          </w:p>
        </w:tc>
        <w:tc>
          <w:tcPr>
            <w:tcW w:w="688" w:type="dxa"/>
            <w:tcBorders>
              <w:top w:val="single" w:color="auto" w:sz="6" w:space="0"/>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其他</w:t>
            </w:r>
          </w:p>
        </w:tc>
        <w:tc>
          <w:tcPr>
            <w:tcW w:w="688" w:type="dxa"/>
            <w:vMerge w:val="continue"/>
            <w:tcBorders>
              <w:top w:val="single" w:color="auto" w:sz="6" w:space="0"/>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929" w:type="dxa"/>
            <w:gridSpan w:val="3"/>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一、本年新收政府信息公开申请数量</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r>
              <w:rPr>
                <w:rFonts w:hint="default" w:ascii="Calibri" w:hAnsi="Calibri" w:eastAsia="仿宋_GB2312" w:cs="Calibri"/>
                <w:sz w:val="20"/>
                <w:szCs w:val="20"/>
                <w:bdr w:val="none" w:color="auto" w:sz="0" w:space="0"/>
              </w:rPr>
              <w:t>2</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r>
              <w:rPr>
                <w:rFonts w:hint="default" w:ascii="Calibri" w:hAnsi="Calibri" w:eastAsia="仿宋_GB2312" w:cs="Calibri"/>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929" w:type="dxa"/>
            <w:gridSpan w:val="3"/>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二、上年结转政府信息公开申请数量</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restart"/>
            <w:tcBorders>
              <w:top w:val="nil"/>
              <w:left w:val="single" w:color="auto" w:sz="6" w:space="0"/>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三、本年度办理结果</w:t>
            </w:r>
          </w:p>
        </w:tc>
        <w:tc>
          <w:tcPr>
            <w:tcW w:w="4162" w:type="dxa"/>
            <w:gridSpan w:val="2"/>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（一）予以公开</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r>
              <w:rPr>
                <w:rFonts w:hint="default" w:ascii="Calibri" w:hAnsi="Calibri" w:eastAsia="仿宋_GB2312" w:cs="Calibri"/>
                <w:sz w:val="20"/>
                <w:szCs w:val="20"/>
                <w:bdr w:val="none" w:color="auto" w:sz="0" w:space="0"/>
              </w:rPr>
              <w:t>2</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single" w:color="auto" w:sz="6" w:space="0"/>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bdr w:val="none" w:color="auto" w:sz="0" w:space="0"/>
              </w:rPr>
              <w:t>2</w:t>
            </w: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（二）部分公开</w:t>
            </w:r>
            <w:r>
              <w:rPr>
                <w:rFonts w:hint="eastAsia" w:ascii="楷体" w:hAnsi="楷体" w:eastAsia="楷体" w:cs="楷体"/>
                <w:sz w:val="20"/>
                <w:szCs w:val="20"/>
                <w:bdr w:val="none" w:color="auto" w:sz="0" w:space="0"/>
              </w:rPr>
              <w:t>（区分处理的，只计这一情形，不计其他情形）</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（三）不予公开</w:t>
            </w: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1.属于国家秘密</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single" w:color="auto" w:sz="6" w:space="0"/>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2.其他法律行政法规禁止公开</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3.危及“三安全一稳定”</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4.保护第三方合法权益</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5.属于三类内部事务信息</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6.属于四类过程性信息</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7.属于行政执法案卷</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8.属于行政查询事项</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（四）无法提供</w:t>
            </w: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1.本机关不掌握相关政府信息</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2.没有现成信息需要另行制作</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3.补正后申请内容仍不明确</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（五）不予处理</w:t>
            </w: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1.信访举报投诉类申请</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2.重复申请</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3.要求提供公开出版物</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4.无正当理由大量反复申请</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5.要求行政机关确认或重新出具已获取信息</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outset" w:color="auto" w:sz="5"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5"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（六）其他处理</w:t>
            </w:r>
          </w:p>
        </w:tc>
        <w:tc>
          <w:tcPr>
            <w:tcW w:w="3219"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3.其他</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767" w:type="dxa"/>
            <w:vMerge w:val="continue"/>
            <w:tcBorders>
              <w:top w:val="nil"/>
              <w:left w:val="single" w:color="auto" w:sz="6" w:space="0"/>
              <w:bottom w:val="outset" w:color="auto" w:sz="5" w:space="0"/>
              <w:right w:val="single" w:color="auto" w:sz="6" w:space="0"/>
            </w:tcBorders>
            <w:shd w:val="clear"/>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（七）总计</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r>
              <w:rPr>
                <w:rFonts w:hint="default" w:ascii="Calibri" w:hAnsi="Calibri" w:eastAsia="仿宋_GB2312" w:cs="Calibri"/>
                <w:sz w:val="20"/>
                <w:szCs w:val="20"/>
                <w:bdr w:val="none" w:color="auto" w:sz="0" w:space="0"/>
              </w:rPr>
              <w:t>2</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929" w:type="dxa"/>
            <w:gridSpan w:val="3"/>
            <w:tcBorders>
              <w:top w:val="nil"/>
              <w:left w:val="single" w:color="auto" w:sz="6" w:space="0"/>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四、结转下年度继续办理</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0 </w:t>
            </w:r>
          </w:p>
        </w:tc>
        <w:tc>
          <w:tcPr>
            <w:tcW w:w="688" w:type="dxa"/>
            <w:tcBorders>
              <w:top w:val="nil"/>
              <w:left w:val="nil"/>
              <w:bottom w:val="single" w:color="auto" w:sz="6" w:space="0"/>
              <w:right w:val="single" w:color="auto" w:sz="6"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0</w:t>
            </w:r>
          </w:p>
        </w:tc>
        <w:tc>
          <w:tcPr>
            <w:tcW w:w="688" w:type="dxa"/>
            <w:tcBorders>
              <w:top w:val="nil"/>
              <w:left w:val="nil"/>
              <w:bottom w:val="single" w:color="auto" w:sz="6" w:space="0"/>
              <w:right w:val="single" w:color="auto" w:sz="6"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36"/>
          <w:szCs w:val="36"/>
          <w:bdr w:val="none" w:color="auto" w:sz="0" w:space="0"/>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3245" w:type="dxa"/>
            <w:gridSpan w:val="5"/>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行政复议</w:t>
            </w:r>
          </w:p>
        </w:tc>
        <w:tc>
          <w:tcPr>
            <w:tcW w:w="6498" w:type="dxa"/>
            <w:gridSpan w:val="10"/>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649"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结果维持</w:t>
            </w:r>
          </w:p>
        </w:tc>
        <w:tc>
          <w:tcPr>
            <w:tcW w:w="649" w:type="dxa"/>
            <w:vMerge w:val="restart"/>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纠正</w:t>
            </w:r>
          </w:p>
        </w:tc>
        <w:tc>
          <w:tcPr>
            <w:tcW w:w="649" w:type="dxa"/>
            <w:vMerge w:val="restart"/>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tc>
        <w:tc>
          <w:tcPr>
            <w:tcW w:w="649" w:type="dxa"/>
            <w:vMerge w:val="restart"/>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审结</w:t>
            </w:r>
          </w:p>
        </w:tc>
        <w:tc>
          <w:tcPr>
            <w:tcW w:w="649" w:type="dxa"/>
            <w:vMerge w:val="restart"/>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总计</w:t>
            </w:r>
          </w:p>
        </w:tc>
        <w:tc>
          <w:tcPr>
            <w:tcW w:w="3248" w:type="dxa"/>
            <w:gridSpan w:val="5"/>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未经复议直接起诉</w:t>
            </w:r>
          </w:p>
        </w:tc>
        <w:tc>
          <w:tcPr>
            <w:tcW w:w="3250" w:type="dxa"/>
            <w:gridSpan w:val="5"/>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649"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维持</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纠正</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审结</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维持</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纠正</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审结</w:t>
            </w:r>
          </w:p>
        </w:tc>
        <w:tc>
          <w:tcPr>
            <w:tcW w:w="650"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 w:hRule="atLeast"/>
          <w:jc w:val="center"/>
        </w:trPr>
        <w:tc>
          <w:tcPr>
            <w:tcW w:w="6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黑体" w:hAnsi="宋体" w:eastAsia="黑体" w:cs="黑体"/>
                <w:sz w:val="20"/>
                <w:szCs w:val="20"/>
                <w:bdr w:val="none" w:color="auto" w:sz="0" w:space="0"/>
              </w:rPr>
              <w:t>0</w:t>
            </w:r>
            <w:r>
              <w:rPr>
                <w:rFonts w:hint="eastAsia" w:ascii="宋体" w:hAnsi="宋体" w:eastAsia="宋体" w:cs="宋体"/>
                <w:sz w:val="20"/>
                <w:szCs w:val="20"/>
                <w:bdr w:val="none" w:color="auto" w:sz="0" w:space="0"/>
              </w:rPr>
              <w:t> </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黑体" w:hAnsi="宋体" w:eastAsia="黑体" w:cs="黑体"/>
                <w:sz w:val="20"/>
                <w:szCs w:val="20"/>
                <w:bdr w:val="none" w:color="auto" w:sz="0" w:space="0"/>
              </w:rPr>
              <w:t>0</w:t>
            </w:r>
            <w:r>
              <w:rPr>
                <w:rFonts w:hint="eastAsia" w:ascii="宋体" w:hAnsi="宋体" w:eastAsia="宋体" w:cs="宋体"/>
                <w:sz w:val="20"/>
                <w:szCs w:val="20"/>
                <w:bdr w:val="none" w:color="auto" w:sz="0" w:space="0"/>
              </w:rPr>
              <w:t> </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黑体" w:hAnsi="宋体" w:eastAsia="黑体" w:cs="黑体"/>
                <w:sz w:val="20"/>
                <w:szCs w:val="20"/>
                <w:bdr w:val="none" w:color="auto" w:sz="0" w:space="0"/>
              </w:rPr>
              <w:t>0</w:t>
            </w:r>
            <w:r>
              <w:rPr>
                <w:rFonts w:hint="eastAsia" w:ascii="宋体" w:hAnsi="宋体" w:eastAsia="宋体" w:cs="宋体"/>
                <w:sz w:val="20"/>
                <w:szCs w:val="20"/>
                <w:bdr w:val="none" w:color="auto" w:sz="0" w:space="0"/>
              </w:rPr>
              <w:t> </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49"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黑体" w:hAnsi="宋体" w:eastAsia="黑体" w:cs="黑体"/>
                <w:sz w:val="20"/>
                <w:szCs w:val="20"/>
                <w:bdr w:val="none" w:color="auto" w:sz="0" w:space="0"/>
              </w:rPr>
              <w:t>0</w:t>
            </w:r>
            <w:r>
              <w:rPr>
                <w:rFonts w:hint="eastAsia" w:ascii="宋体" w:hAnsi="宋体" w:eastAsia="宋体" w:cs="宋体"/>
                <w:sz w:val="20"/>
                <w:szCs w:val="20"/>
                <w:bdr w:val="none" w:color="auto" w:sz="0" w:space="0"/>
              </w:rPr>
              <w:t> </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黑体" w:hAnsi="宋体" w:eastAsia="黑体" w:cs="黑体"/>
                <w:sz w:val="20"/>
                <w:szCs w:val="20"/>
                <w:bdr w:val="none" w:color="auto" w:sz="0" w:space="0"/>
              </w:rPr>
              <w:t>0</w:t>
            </w:r>
            <w:r>
              <w:rPr>
                <w:rFonts w:hint="eastAsia" w:ascii="宋体" w:hAnsi="宋体" w:eastAsia="宋体" w:cs="宋体"/>
                <w:sz w:val="20"/>
                <w:szCs w:val="20"/>
                <w:bdr w:val="none" w:color="auto" w:sz="0" w:space="0"/>
              </w:rPr>
              <w:t> </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黑体" w:hAnsi="宋体" w:eastAsia="黑体" w:cs="黑体"/>
                <w:sz w:val="20"/>
                <w:szCs w:val="20"/>
                <w:bdr w:val="none" w:color="auto" w:sz="0" w:space="0"/>
              </w:rPr>
              <w:t>0</w:t>
            </w:r>
            <w:r>
              <w:rPr>
                <w:rFonts w:hint="eastAsia" w:ascii="宋体" w:hAnsi="宋体" w:eastAsia="宋体" w:cs="宋体"/>
                <w:sz w:val="20"/>
                <w:szCs w:val="20"/>
                <w:bdr w:val="none" w:color="auto" w:sz="0" w:space="0"/>
              </w:rPr>
              <w:t> </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0"/>
                <w:szCs w:val="20"/>
                <w:bdr w:val="none" w:color="auto" w:sz="0" w:space="0"/>
              </w:rPr>
              <w:t> </w:t>
            </w:r>
            <w:r>
              <w:rPr>
                <w:rFonts w:hint="eastAsia" w:ascii="黑体" w:hAnsi="宋体" w:eastAsia="黑体" w:cs="黑体"/>
                <w:sz w:val="20"/>
                <w:szCs w:val="20"/>
                <w:bdr w:val="none" w:color="auto" w:sz="0" w:space="0"/>
              </w:rPr>
              <w:t>0</w:t>
            </w:r>
          </w:p>
        </w:tc>
        <w:tc>
          <w:tcPr>
            <w:tcW w:w="650" w:type="dxa"/>
            <w:tcBorders>
              <w:top w:val="nil"/>
              <w:left w:val="nil"/>
              <w:bottom w:val="single" w:color="auto" w:sz="6" w:space="0"/>
              <w:right w:val="single" w:color="auto"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（一）存在的主要问题</w:t>
      </w:r>
      <w:r>
        <w:rPr>
          <w:rFonts w:hint="eastAsia" w:ascii="仿宋_GB2312" w:hAnsi="Calibri" w:eastAsia="仿宋_GB2312" w:cs="仿宋_GB2312"/>
          <w:i w:val="0"/>
          <w:iCs w:val="0"/>
          <w:caps w:val="0"/>
          <w:color w:val="333333"/>
          <w:spacing w:val="0"/>
          <w:sz w:val="32"/>
          <w:szCs w:val="32"/>
          <w:bdr w:val="none" w:color="auto" w:sz="0" w:space="0"/>
          <w:shd w:val="clear" w:fill="FFFFFF"/>
        </w:rPr>
        <w:t>：政府信息公开意识还有待进一步加强，与群众切身利益、方便群众办事、群众关心关注的政府信息公开还有不及时、不全面、不具体等问题。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bdr w:val="none" w:color="auto" w:sz="0" w:space="0"/>
          <w:shd w:val="clear" w:fill="FFFFFF"/>
        </w:rPr>
        <w:t>（二）改进措施：</w:t>
      </w:r>
      <w:r>
        <w:rPr>
          <w:rFonts w:hint="eastAsia" w:ascii="仿宋_GB2312" w:hAnsi="Calibri" w:eastAsia="仿宋_GB2312" w:cs="仿宋_GB2312"/>
          <w:i w:val="0"/>
          <w:iCs w:val="0"/>
          <w:caps w:val="0"/>
          <w:color w:val="333333"/>
          <w:spacing w:val="0"/>
          <w:sz w:val="32"/>
          <w:szCs w:val="32"/>
          <w:bdr w:val="none" w:color="auto" w:sz="0" w:space="0"/>
          <w:shd w:val="clear" w:fill="FFFFFF"/>
        </w:rPr>
        <w:t>进一步加大政府信息公开工作力度，进一步细化、优化政府信息公开目录，不断丰富信息内容，促进信息公开全面、具体。充分利用信息公开网站，将文化旅游特色工作、群众关心的公益性活动等信息广泛公开，丰富内容，提高公开频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按照《国务院办公厅关于印发〈政府信息公开信息处理费管理办法〉的通知》（国办函〔2020〕109号）规定的按件、按量收费标准，本年度没有产生信息公开处理费</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Calibri" w:eastAsia="仿宋_GB2312" w:cs="仿宋_GB2312"/>
          <w:i w:val="0"/>
          <w:iCs w:val="0"/>
          <w:caps w:val="0"/>
          <w:color w:val="333333"/>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金寨县文化旅游体育局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2024年1月19日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DZiZGNlYWU5OGViNzkxZjQ4NzE4Zjg5ZDQyZTYifQ=="/>
  </w:docVars>
  <w:rsids>
    <w:rsidRoot w:val="25A63C8E"/>
    <w:rsid w:val="01696351"/>
    <w:rsid w:val="05860F0E"/>
    <w:rsid w:val="05D460D3"/>
    <w:rsid w:val="05E85AE7"/>
    <w:rsid w:val="0BA60F0C"/>
    <w:rsid w:val="0CA52B77"/>
    <w:rsid w:val="0CB069C4"/>
    <w:rsid w:val="132C7404"/>
    <w:rsid w:val="180F6CFF"/>
    <w:rsid w:val="1A595FF7"/>
    <w:rsid w:val="21BD6606"/>
    <w:rsid w:val="24E57B40"/>
    <w:rsid w:val="25A63C8E"/>
    <w:rsid w:val="297A7A14"/>
    <w:rsid w:val="2D400257"/>
    <w:rsid w:val="359A32E2"/>
    <w:rsid w:val="36345DD5"/>
    <w:rsid w:val="36E44B5F"/>
    <w:rsid w:val="395427A5"/>
    <w:rsid w:val="3DF15EAF"/>
    <w:rsid w:val="3F3F31DD"/>
    <w:rsid w:val="413C1AB1"/>
    <w:rsid w:val="424F52E3"/>
    <w:rsid w:val="432E340C"/>
    <w:rsid w:val="43760D17"/>
    <w:rsid w:val="43A97452"/>
    <w:rsid w:val="45935213"/>
    <w:rsid w:val="47290CC2"/>
    <w:rsid w:val="4D2630A1"/>
    <w:rsid w:val="527508C2"/>
    <w:rsid w:val="52B51F78"/>
    <w:rsid w:val="554D40A7"/>
    <w:rsid w:val="5FD27B7A"/>
    <w:rsid w:val="63194DAA"/>
    <w:rsid w:val="6320768D"/>
    <w:rsid w:val="6BE611C8"/>
    <w:rsid w:val="6EC73333"/>
    <w:rsid w:val="71EE7E83"/>
    <w:rsid w:val="72C70F09"/>
    <w:rsid w:val="72E123E7"/>
    <w:rsid w:val="762C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2024-02-21T03:43:00Z</dcterms:created>
  <dc:creator>admin</dc:creator>
  <cp:lastModifiedBy>admin</cp:lastModifiedBy>
  <dcterms:modified xsi:type="dcterms:W3CDTF">2024-02-21T03:44:02Z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3E3E871072204847B4DE1B843659B67F_11</vt:lpwstr>
  </property>
</Properties>
</file>