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440" w:firstLineChars="100"/>
        <w:jc w:val="both"/>
        <w:textAlignment w:val="auto"/>
        <w:rPr>
          <w:rFonts w:hint="default" w:ascii="Times New Roman" w:hAnsi="Times New Roman" w:eastAsia="方正小标宋简体" w:cs="Times New Roman"/>
          <w:kern w:val="0"/>
          <w:sz w:val="44"/>
          <w:szCs w:val="44"/>
          <w:lang w:val="en-US" w:eastAsia="zh-CN" w:bidi="ar"/>
        </w:rPr>
      </w:pPr>
      <w:bookmarkStart w:id="1" w:name="_GoBack"/>
      <w:r>
        <w:rPr>
          <w:rFonts w:hint="default" w:ascii="Times New Roman" w:hAnsi="Times New Roman" w:eastAsia="方正小标宋简体" w:cs="Times New Roman"/>
          <w:kern w:val="0"/>
          <w:sz w:val="44"/>
          <w:szCs w:val="44"/>
          <w:lang w:val="en-US" w:eastAsia="zh-CN" w:bidi="ar"/>
        </w:rPr>
        <w:t>金寨县民政局2023年政府信息公开工作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3080" w:firstLineChars="700"/>
        <w:jc w:val="both"/>
        <w:textAlignment w:val="auto"/>
        <w:rPr>
          <w:rFonts w:hint="default" w:ascii="Times New Roman" w:hAnsi="Times New Roman" w:eastAsia="方正小标宋简体" w:cs="Times New Roman"/>
          <w:kern w:val="0"/>
          <w:sz w:val="44"/>
          <w:szCs w:val="44"/>
          <w:lang w:val="en-US" w:eastAsia="zh-CN" w:bidi="ar"/>
        </w:rPr>
      </w:pPr>
      <w:r>
        <w:rPr>
          <w:rFonts w:hint="default" w:ascii="Times New Roman" w:hAnsi="Times New Roman" w:eastAsia="方正小标宋简体" w:cs="Times New Roman"/>
          <w:kern w:val="0"/>
          <w:sz w:val="44"/>
          <w:szCs w:val="44"/>
          <w:lang w:val="en-US" w:eastAsia="zh-CN" w:bidi="ar"/>
        </w:rPr>
        <w:t>年度报告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仿宋_GB2312" w:cs="Times New Roman"/>
          <w:kern w:val="2"/>
          <w:sz w:val="32"/>
          <w:szCs w:val="32"/>
          <w:lang w:val="en-US" w:eastAsia="zh-CN" w:bidi="ar"/>
        </w:rPr>
        <w:t>本报告依据《中华人民共和国政府信息公开条例》（国务院令第</w:t>
      </w:r>
      <w:r>
        <w:rPr>
          <w:rFonts w:hint="default" w:ascii="Times New Roman" w:hAnsi="Times New Roman" w:eastAsia="仿宋_GB2312" w:cs="Times New Roman"/>
          <w:kern w:val="2"/>
          <w:sz w:val="32"/>
          <w:szCs w:val="32"/>
          <w:lang w:val="en-US" w:eastAsia="zh-CN" w:bidi="ar"/>
        </w:rPr>
        <w:t>711号，以下简称新《条例》）、《</w:t>
      </w: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
        </w:rPr>
        <w:t>关于做好2023年度政府信息公开工作年度报告编制和发布的通知</w:t>
      </w:r>
      <w:r>
        <w:rPr>
          <w:rFonts w:hint="default" w:ascii="Times New Roman" w:hAnsi="Times New Roman" w:eastAsia="仿宋_GB2312" w:cs="Times New Roman"/>
          <w:kern w:val="2"/>
          <w:sz w:val="32"/>
          <w:szCs w:val="32"/>
          <w:lang w:val="en-US" w:eastAsia="zh-CN" w:bidi="ar"/>
        </w:rPr>
        <w:t>》（</w:t>
      </w:r>
      <w:bookmarkStart w:id="0" w:name="文号"/>
      <w:r>
        <w:rPr>
          <w:rFonts w:hint="default" w:ascii="Times New Roman" w:hAnsi="Times New Roman" w:eastAsia="仿宋_GB2312" w:cs="Times New Roman"/>
          <w:kern w:val="2"/>
          <w:sz w:val="32"/>
          <w:szCs w:val="32"/>
          <w:lang w:val="en-US" w:eastAsia="zh-CN" w:bidi="ar"/>
        </w:rPr>
        <w:t>金政公开〔202</w:t>
      </w:r>
      <w:r>
        <w:rPr>
          <w:rFonts w:hint="default" w:ascii="Times New Roman" w:hAnsi="Times New Roman" w:cs="Times New Roman"/>
          <w:kern w:val="2"/>
          <w:sz w:val="32"/>
          <w:szCs w:val="32"/>
          <w:lang w:val="en-US" w:eastAsia="zh-CN" w:bidi="ar"/>
        </w:rPr>
        <w:t>4</w:t>
      </w:r>
      <w:r>
        <w:rPr>
          <w:rFonts w:hint="default" w:ascii="Times New Roman" w:hAnsi="Times New Roman" w:eastAsia="仿宋_GB2312" w:cs="Times New Roman"/>
          <w:kern w:val="2"/>
          <w:sz w:val="32"/>
          <w:szCs w:val="32"/>
          <w:lang w:val="en-US" w:eastAsia="zh-CN" w:bidi="ar"/>
        </w:rPr>
        <w:t>〕1号</w:t>
      </w:r>
      <w:bookmarkEnd w:id="0"/>
      <w:r>
        <w:rPr>
          <w:rFonts w:hint="default" w:ascii="Times New Roman" w:hAnsi="Times New Roman" w:eastAsia="仿宋_GB2312" w:cs="Times New Roman"/>
          <w:kern w:val="2"/>
          <w:sz w:val="32"/>
          <w:szCs w:val="32"/>
          <w:lang w:val="en-US" w:eastAsia="zh-CN" w:bidi="ar"/>
        </w:rPr>
        <w:t>）文件要求编制而成。报告主要包括：总体情况、行政机关主动公开政府信息情况、收到和处理政府信息公开申请情况、政府信息公开行政复议、行政诉讼情况、政府信息公开工作存在的主要问题及改进情况和其他需要报告的事项</w:t>
      </w:r>
      <w:r>
        <w:rPr>
          <w:rFonts w:hint="default" w:ascii="Times New Roman" w:hAnsi="Times New Roman"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本报告中所列数据的统计期限自202</w:t>
      </w:r>
      <w:r>
        <w:rPr>
          <w:rFonts w:hint="default" w:ascii="Times New Roman" w:hAnsi="Times New Roman"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年1月1日起至202</w:t>
      </w:r>
      <w:r>
        <w:rPr>
          <w:rFonts w:hint="default" w:ascii="Times New Roman" w:hAnsi="Times New Roman"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年12月31日止。报告的电子版可在金寨县</w:t>
      </w:r>
      <w:r>
        <w:rPr>
          <w:rFonts w:hint="default" w:ascii="Times New Roman" w:hAnsi="Times New Roman" w:cs="Times New Roman"/>
          <w:kern w:val="2"/>
          <w:sz w:val="32"/>
          <w:szCs w:val="32"/>
          <w:lang w:val="en-US" w:eastAsia="zh-CN" w:bidi="ar"/>
        </w:rPr>
        <w:t>信息公开网</w:t>
      </w:r>
      <w:r>
        <w:rPr>
          <w:rFonts w:hint="default" w:ascii="Times New Roman" w:hAnsi="Times New Roman" w:eastAsia="仿宋_GB2312" w:cs="Times New Roman"/>
          <w:kern w:val="2"/>
          <w:sz w:val="32"/>
          <w:szCs w:val="32"/>
          <w:lang w:val="en-US" w:eastAsia="zh-CN" w:bidi="ar"/>
        </w:rPr>
        <w:t>（http://www.ahjinzhai.gov.cn/public/index.html）下载。如对本报告有任何疑问，请与金寨县民政局联系（地址：金寨县红军大道48号交通运输局大楼4楼，电话：0564-7062026，邮编：237300）。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cs="Times New Roman"/>
          <w:b/>
          <w:bCs/>
        </w:rPr>
      </w:pPr>
      <w:r>
        <w:rPr>
          <w:rFonts w:hint="default" w:ascii="Times New Roman" w:hAnsi="Times New Roman" w:eastAsia="黑体" w:cs="Times New Roman"/>
          <w:color w:val="000000"/>
          <w:kern w:val="0"/>
          <w:sz w:val="32"/>
          <w:szCs w:val="32"/>
          <w:lang w:val="en-US" w:eastAsia="zh-CN" w:bidi="ar"/>
        </w:rPr>
        <w:t>一、总体情况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cs="Times New Roman"/>
          <w:b/>
          <w:bCs/>
        </w:rPr>
      </w:pPr>
      <w:r>
        <w:rPr>
          <w:rFonts w:hint="default" w:ascii="Times New Roman" w:hAnsi="Times New Roman" w:eastAsia="楷体_GB2312" w:cs="Times New Roman"/>
          <w:color w:val="000000"/>
          <w:kern w:val="0"/>
          <w:sz w:val="32"/>
          <w:szCs w:val="32"/>
          <w:lang w:val="en-US" w:eastAsia="zh-CN" w:bidi="ar"/>
        </w:rPr>
        <w:t>（一）</w:t>
      </w:r>
      <w:r>
        <w:rPr>
          <w:rFonts w:hint="default" w:ascii="Times New Roman" w:hAnsi="Times New Roman" w:eastAsia="楷体_GB2312" w:cs="Times New Roman"/>
          <w:color w:val="000000"/>
          <w:kern w:val="0"/>
          <w:sz w:val="32"/>
          <w:szCs w:val="32"/>
          <w:lang w:eastAsia="zh-CN" w:bidi="ar"/>
        </w:rPr>
        <w:t>主动公开情况：</w:t>
      </w:r>
      <w:r>
        <w:rPr>
          <w:rFonts w:hint="default" w:ascii="Times New Roman" w:hAnsi="Times New Roman" w:eastAsia="仿宋_GB2312" w:cs="Times New Roman"/>
          <w:sz w:val="32"/>
          <w:szCs w:val="32"/>
          <w:lang w:eastAsia="zh-CN"/>
        </w:rPr>
        <w:t>县民政局</w:t>
      </w:r>
      <w:r>
        <w:rPr>
          <w:rFonts w:hint="default" w:ascii="Times New Roman" w:hAnsi="Times New Roman" w:eastAsia="仿宋_GB2312" w:cs="Times New Roman"/>
          <w:sz w:val="32"/>
          <w:szCs w:val="32"/>
        </w:rPr>
        <w:t>紧紧围绕</w:t>
      </w:r>
      <w:r>
        <w:rPr>
          <w:rFonts w:hint="default" w:ascii="Times New Roman" w:hAnsi="Times New Roman" w:cs="Times New Roman"/>
          <w:sz w:val="32"/>
          <w:szCs w:val="32"/>
          <w:lang w:eastAsia="zh-CN"/>
        </w:rPr>
        <w:t>省、</w:t>
      </w:r>
      <w:r>
        <w:rPr>
          <w:rFonts w:hint="default" w:ascii="Times New Roman" w:hAnsi="Times New Roman" w:cs="Times New Roman"/>
          <w:sz w:val="32"/>
          <w:szCs w:val="32"/>
        </w:rPr>
        <w:t>市、县</w:t>
      </w:r>
      <w:r>
        <w:rPr>
          <w:rFonts w:hint="default" w:ascii="Times New Roman" w:hAnsi="Times New Roman" w:cs="Times New Roman"/>
          <w:sz w:val="32"/>
          <w:szCs w:val="32"/>
          <w:lang w:eastAsia="zh-CN"/>
        </w:rPr>
        <w:t>政府</w:t>
      </w:r>
      <w:r>
        <w:rPr>
          <w:rFonts w:hint="default" w:ascii="Times New Roman" w:hAnsi="Times New Roman" w:eastAsia="仿宋_GB2312" w:cs="Times New Roman"/>
          <w:sz w:val="32"/>
          <w:szCs w:val="32"/>
        </w:rPr>
        <w:t>工作部署要求</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强化民政重点领域信息公开</w:t>
      </w:r>
      <w:r>
        <w:rPr>
          <w:rFonts w:hint="default" w:ascii="Times New Roman" w:hAnsi="Times New Roman" w:cs="Times New Roman"/>
          <w:sz w:val="32"/>
          <w:szCs w:val="32"/>
          <w:lang w:eastAsia="zh-CN"/>
        </w:rPr>
        <w:t>。</w:t>
      </w:r>
      <w:r>
        <w:rPr>
          <w:rFonts w:hint="default" w:ascii="Times New Roman" w:hAnsi="Times New Roman" w:cs="Times New Roman"/>
          <w:b/>
          <w:bCs/>
          <w:sz w:val="32"/>
          <w:szCs w:val="32"/>
        </w:rPr>
        <w:t>一是</w:t>
      </w:r>
      <w:r>
        <w:rPr>
          <w:rFonts w:hint="default" w:ascii="Times New Roman" w:hAnsi="Times New Roman" w:cs="Times New Roman"/>
          <w:sz w:val="32"/>
          <w:szCs w:val="32"/>
        </w:rPr>
        <w:t>持续</w:t>
      </w:r>
      <w:r>
        <w:rPr>
          <w:rFonts w:hint="default" w:ascii="Times New Roman" w:hAnsi="Times New Roman" w:eastAsia="仿宋_GB2312" w:cs="Times New Roman"/>
          <w:sz w:val="32"/>
          <w:szCs w:val="32"/>
        </w:rPr>
        <w:t>强化政策解读</w:t>
      </w:r>
      <w:r>
        <w:rPr>
          <w:rFonts w:hint="default" w:ascii="Times New Roman" w:hAnsi="Times New Roman" w:cs="Times New Roman"/>
          <w:sz w:val="32"/>
          <w:szCs w:val="32"/>
        </w:rPr>
        <w:t>，全年共发布政策解读7条，</w:t>
      </w:r>
      <w:r>
        <w:rPr>
          <w:rFonts w:hint="default" w:ascii="Times New Roman" w:hAnsi="Times New Roman" w:cs="Times New Roman"/>
          <w:sz w:val="32"/>
          <w:szCs w:val="32"/>
          <w:lang w:eastAsia="zh-CN"/>
        </w:rPr>
        <w:t>采用文字、图解等形式全方位展示政策文件内容。</w:t>
      </w:r>
      <w:r>
        <w:rPr>
          <w:rFonts w:hint="default" w:ascii="Times New Roman" w:hAnsi="Times New Roman" w:cs="Times New Roman"/>
          <w:b/>
          <w:bCs/>
          <w:sz w:val="32"/>
          <w:szCs w:val="32"/>
        </w:rPr>
        <w:t>二是</w:t>
      </w:r>
      <w:r>
        <w:rPr>
          <w:rFonts w:hint="default" w:ascii="Times New Roman" w:hAnsi="Times New Roman" w:cs="Times New Roman"/>
          <w:sz w:val="32"/>
          <w:szCs w:val="32"/>
          <w:lang w:eastAsia="zh-CN"/>
        </w:rPr>
        <w:t>主动回应公众关切</w:t>
      </w:r>
      <w:r>
        <w:rPr>
          <w:rFonts w:hint="default" w:ascii="Times New Roman" w:hAnsi="Times New Roman" w:cs="Times New Roman"/>
          <w:sz w:val="32"/>
          <w:szCs w:val="32"/>
          <w:lang w:eastAsia="zh-CN"/>
        </w:rPr>
        <w:t>。</w:t>
      </w:r>
      <w:r>
        <w:rPr>
          <w:rFonts w:hint="default" w:ascii="Times New Roman" w:hAnsi="Times New Roman" w:cs="Times New Roman"/>
          <w:sz w:val="32"/>
          <w:szCs w:val="32"/>
        </w:rPr>
        <w:t>全年共发布应急管理41条、回应关切信息53条，</w:t>
      </w:r>
      <w:r>
        <w:rPr>
          <w:rFonts w:hint="default" w:ascii="Times New Roman" w:hAnsi="Times New Roman" w:cs="Times New Roman"/>
          <w:sz w:val="32"/>
          <w:szCs w:val="32"/>
          <w:lang w:eastAsia="zh-CN"/>
        </w:rPr>
        <w:t>通过信息发布，</w:t>
      </w:r>
      <w:r>
        <w:rPr>
          <w:rFonts w:hint="default" w:ascii="Times New Roman" w:hAnsi="Times New Roman" w:cs="Times New Roman"/>
          <w:sz w:val="32"/>
          <w:szCs w:val="32"/>
          <w:lang w:val="en-US" w:eastAsia="zh-CN"/>
        </w:rPr>
        <w:t>提高了群众对养老政策的知晓度、增强了老年人防范</w:t>
      </w:r>
      <w:r>
        <w:rPr>
          <w:rFonts w:hint="default" w:ascii="Times New Roman" w:hAnsi="Times New Roman" w:cs="Times New Roman"/>
          <w:sz w:val="32"/>
          <w:szCs w:val="32"/>
        </w:rPr>
        <w:t>诈骗</w:t>
      </w:r>
      <w:r>
        <w:rPr>
          <w:rFonts w:hint="default" w:ascii="Times New Roman" w:hAnsi="Times New Roman" w:cs="Times New Roman"/>
          <w:sz w:val="32"/>
          <w:szCs w:val="32"/>
          <w:lang w:eastAsia="zh-CN"/>
        </w:rPr>
        <w:t>的意识，</w:t>
      </w:r>
      <w:r>
        <w:rPr>
          <w:rFonts w:hint="default" w:ascii="Times New Roman" w:hAnsi="Times New Roman" w:cs="Times New Roman"/>
          <w:sz w:val="32"/>
          <w:szCs w:val="32"/>
          <w:lang w:val="en-US" w:eastAsia="zh-CN"/>
        </w:rPr>
        <w:t>针对性解答了群众对离婚冷静期、婚姻跨省登记等问题的疑问；公开了社会组织年度检查情况和非法社会组织举报平台等各方面信息。2023年</w:t>
      </w:r>
      <w:r>
        <w:rPr>
          <w:rFonts w:hint="default" w:ascii="Times New Roman" w:hAnsi="Times New Roman" w:cs="Times New Roman"/>
          <w:sz w:val="32"/>
          <w:szCs w:val="32"/>
          <w:lang w:eastAsia="zh-CN"/>
        </w:rPr>
        <w:t>共</w:t>
      </w:r>
      <w:r>
        <w:rPr>
          <w:rFonts w:hint="default" w:ascii="Times New Roman" w:hAnsi="Times New Roman" w:cs="Times New Roman"/>
          <w:sz w:val="32"/>
          <w:szCs w:val="32"/>
        </w:rPr>
        <w:t>2次公开征求群众意见，收到群众意见反馈81条</w:t>
      </w:r>
      <w:r>
        <w:rPr>
          <w:rFonts w:hint="default" w:ascii="Times New Roman" w:hAnsi="Times New Roman" w:cs="Times New Roman"/>
          <w:sz w:val="32"/>
          <w:szCs w:val="32"/>
          <w:lang w:eastAsia="zh-CN"/>
        </w:rPr>
        <w:t>。召开新闻发布会1场，线上访谈1场。</w:t>
      </w:r>
      <w:r>
        <w:rPr>
          <w:rFonts w:hint="default" w:ascii="Times New Roman" w:hAnsi="Times New Roman" w:cs="Times New Roman"/>
          <w:b/>
          <w:bCs/>
          <w:sz w:val="32"/>
          <w:szCs w:val="32"/>
          <w:lang w:eastAsia="zh-CN"/>
        </w:rPr>
        <w:t>三是</w:t>
      </w:r>
      <w:r>
        <w:rPr>
          <w:rFonts w:hint="default" w:ascii="Times New Roman" w:hAnsi="Times New Roman" w:cs="Times New Roman"/>
          <w:sz w:val="32"/>
          <w:szCs w:val="32"/>
          <w:lang w:eastAsia="zh-CN"/>
        </w:rPr>
        <w:t>加强重点领域</w:t>
      </w:r>
      <w:r>
        <w:rPr>
          <w:rFonts w:hint="default" w:ascii="Times New Roman" w:hAnsi="Times New Roman" w:cs="Times New Roman"/>
          <w:sz w:val="32"/>
          <w:szCs w:val="32"/>
          <w:lang w:eastAsia="zh-CN"/>
        </w:rPr>
        <w:t>和基层“两化”</w:t>
      </w:r>
      <w:r>
        <w:rPr>
          <w:rFonts w:hint="default" w:ascii="Times New Roman" w:hAnsi="Times New Roman" w:cs="Times New Roman"/>
          <w:sz w:val="32"/>
          <w:szCs w:val="32"/>
        </w:rPr>
        <w:t>公开。</w:t>
      </w:r>
      <w:r>
        <w:rPr>
          <w:rFonts w:hint="default" w:ascii="Times New Roman" w:hAnsi="Times New Roman" w:cs="Times New Roman"/>
          <w:sz w:val="32"/>
          <w:szCs w:val="32"/>
          <w:highlight w:val="none"/>
          <w:lang w:eastAsia="zh-CN"/>
        </w:rPr>
        <w:t>聚焦社会组织、养老服务、社会救助三大领域，</w:t>
      </w:r>
      <w:r>
        <w:rPr>
          <w:rFonts w:hint="default" w:ascii="Times New Roman" w:hAnsi="Times New Roman" w:cs="Times New Roman"/>
          <w:sz w:val="32"/>
          <w:szCs w:val="32"/>
          <w:highlight w:val="none"/>
          <w:lang w:val="en-US" w:eastAsia="zh-CN"/>
        </w:rPr>
        <w:t>2023年共发布</w:t>
      </w:r>
      <w:r>
        <w:rPr>
          <w:rFonts w:hint="default" w:ascii="Times New Roman" w:hAnsi="Times New Roman" w:cs="Times New Roman"/>
          <w:sz w:val="32"/>
          <w:szCs w:val="32"/>
          <w:lang w:val="en-US" w:eastAsia="zh-CN"/>
        </w:rPr>
        <w:t>社会救助类信息383条，</w:t>
      </w:r>
      <w:r>
        <w:rPr>
          <w:rFonts w:hint="default" w:ascii="Times New Roman" w:hAnsi="Times New Roman" w:cs="Times New Roman"/>
          <w:sz w:val="32"/>
          <w:szCs w:val="32"/>
          <w:highlight w:val="none"/>
          <w:lang w:eastAsia="zh-CN"/>
        </w:rPr>
        <w:t>针对低保、五保、孤儿等特殊困难群体，定期更新社会救助类各项政策措施办理流程、最新保障标准和月度发放花名册；</w:t>
      </w:r>
      <w:r>
        <w:rPr>
          <w:rFonts w:hint="default" w:ascii="Times New Roman" w:hAnsi="Times New Roman" w:cs="Times New Roman"/>
          <w:sz w:val="32"/>
          <w:szCs w:val="32"/>
          <w:lang w:eastAsia="zh-CN"/>
        </w:rPr>
        <w:t>发布养老服务信息</w:t>
      </w:r>
      <w:r>
        <w:rPr>
          <w:rFonts w:hint="default" w:ascii="Times New Roman" w:hAnsi="Times New Roman" w:cs="Times New Roman"/>
          <w:sz w:val="32"/>
          <w:szCs w:val="32"/>
          <w:lang w:val="en-US" w:eastAsia="zh-CN"/>
        </w:rPr>
        <w:t>88条，全面</w:t>
      </w:r>
      <w:r>
        <w:rPr>
          <w:rFonts w:hint="default" w:ascii="Times New Roman" w:hAnsi="Times New Roman" w:cs="Times New Roman"/>
          <w:sz w:val="32"/>
          <w:szCs w:val="32"/>
          <w:highlight w:val="none"/>
          <w:lang w:eastAsia="zh-CN"/>
        </w:rPr>
        <w:t>公开</w:t>
      </w:r>
      <w:r>
        <w:rPr>
          <w:rFonts w:hint="default" w:ascii="Times New Roman" w:hAnsi="Times New Roman" w:cs="Times New Roman"/>
          <w:sz w:val="32"/>
          <w:szCs w:val="32"/>
          <w:highlight w:val="none"/>
          <w:lang w:val="en-US" w:eastAsia="zh-CN"/>
        </w:rPr>
        <w:t>23个</w:t>
      </w:r>
      <w:r>
        <w:rPr>
          <w:rFonts w:hint="default" w:ascii="Times New Roman" w:hAnsi="Times New Roman" w:cs="Times New Roman"/>
          <w:sz w:val="32"/>
          <w:szCs w:val="32"/>
          <w:highlight w:val="none"/>
          <w:lang w:eastAsia="zh-CN"/>
        </w:rPr>
        <w:t>乡镇康养中心资质和服务内容，方便群众查阅了解；发布</w:t>
      </w:r>
      <w:r>
        <w:rPr>
          <w:rFonts w:hint="default" w:ascii="Times New Roman" w:hAnsi="Times New Roman" w:cs="Times New Roman"/>
          <w:sz w:val="32"/>
          <w:szCs w:val="32"/>
          <w:lang w:val="en-US" w:eastAsia="zh-CN"/>
        </w:rPr>
        <w:t>社会组织信息21条，</w:t>
      </w:r>
      <w:r>
        <w:rPr>
          <w:rFonts w:hint="default" w:ascii="Times New Roman" w:hAnsi="Times New Roman" w:cs="Times New Roman"/>
          <w:sz w:val="32"/>
          <w:szCs w:val="32"/>
          <w:highlight w:val="none"/>
          <w:lang w:eastAsia="zh-CN"/>
        </w:rPr>
        <w:t>公开慈善组织年度受赠和捐赠情况，接受公众监督。更新内容的同时注重隐私保护工作，未发生重大隐私泄露情况。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（二）依申请公开情况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全面畅通政府信息依申请公开渠道，进一步健全民政局政府信息公开申请登记、审核、办理、答复、归档闭环管理机制。2023年共依法规范受理答复政府信息公开申请</w:t>
      </w: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rPr>
        <w:t>件。因政府信息公开工作被申请行政复议、提起行政诉讼0件。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（三）</w:t>
      </w:r>
      <w:r>
        <w:rPr>
          <w:rFonts w:hint="default" w:ascii="Times New Roman" w:hAnsi="Times New Roman" w:eastAsia="楷体_GB2312" w:cs="Times New Roman"/>
          <w:color w:val="000000"/>
          <w:kern w:val="0"/>
          <w:sz w:val="32"/>
          <w:szCs w:val="32"/>
          <w:lang w:val="en-US" w:eastAsia="zh-CN" w:bidi="ar"/>
        </w:rPr>
        <w:t>政府信息管理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开展行政规范性文件</w:t>
      </w:r>
      <w:r>
        <w:rPr>
          <w:rFonts w:hint="default" w:ascii="Times New Roman" w:hAnsi="Times New Roman" w:cs="Times New Roman"/>
          <w:sz w:val="32"/>
          <w:szCs w:val="32"/>
          <w:highlight w:val="none"/>
          <w:lang w:eastAsia="zh-CN"/>
        </w:rPr>
        <w:t>格式梳</w:t>
      </w:r>
      <w:r>
        <w:rPr>
          <w:rFonts w:hint="default" w:ascii="Times New Roman" w:hAnsi="Times New Roman" w:eastAsia="仿宋_GB2312" w:cs="Times New Roman"/>
          <w:sz w:val="32"/>
          <w:szCs w:val="32"/>
          <w:highlight w:val="none"/>
        </w:rPr>
        <w:t>理工作，</w:t>
      </w:r>
      <w:r>
        <w:rPr>
          <w:rFonts w:hint="default" w:ascii="Times New Roman" w:hAnsi="Times New Roman" w:cs="Times New Roman"/>
          <w:color w:val="auto"/>
          <w:highlight w:val="none"/>
          <w:u w:val="none" w:color="auto"/>
          <w:shd w:val="clear" w:color="auto" w:fill="auto"/>
          <w:lang w:val="en-US" w:eastAsia="zh-CN"/>
        </w:rPr>
        <w:t>梳理</w:t>
      </w:r>
      <w:r>
        <w:rPr>
          <w:rFonts w:hint="default" w:ascii="Times New Roman" w:hAnsi="Times New Roman" w:cs="Times New Roman"/>
          <w:color w:val="auto"/>
          <w:highlight w:val="none"/>
          <w:u w:val="none" w:color="auto"/>
          <w:shd w:val="clear" w:color="auto" w:fill="auto"/>
        </w:rPr>
        <w:t>规范性文件格式</w:t>
      </w:r>
      <w:r>
        <w:rPr>
          <w:rFonts w:hint="default" w:ascii="Times New Roman" w:hAnsi="Times New Roman" w:cs="Times New Roman"/>
          <w:color w:val="auto"/>
          <w:highlight w:val="none"/>
          <w:u w:val="none" w:color="auto"/>
          <w:shd w:val="clear" w:color="auto" w:fill="auto"/>
          <w:lang w:eastAsia="zh-CN"/>
        </w:rPr>
        <w:t>2</w:t>
      </w:r>
      <w:r>
        <w:rPr>
          <w:rFonts w:hint="default" w:ascii="Times New Roman" w:hAnsi="Times New Roman" w:cs="Times New Roman"/>
          <w:color w:val="auto"/>
          <w:highlight w:val="none"/>
          <w:u w:val="none" w:color="auto"/>
          <w:shd w:val="clear" w:color="auto" w:fill="auto"/>
          <w:lang w:val="en-US" w:eastAsia="zh-CN"/>
        </w:rPr>
        <w:t>件</w:t>
      </w:r>
      <w:r>
        <w:rPr>
          <w:rFonts w:hint="default"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严格落实政务信息公开保密审查工作，专人负责保密审查工作，开展门户网站安全管理自查自评，确保信息安全。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（四）政府信息公开平台建设情况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仿宋_GB2312" w:cs="Times New Roman"/>
          <w:b/>
          <w:bCs/>
          <w:color w:val="auto"/>
          <w:sz w:val="32"/>
          <w:szCs w:val="32"/>
          <w:highlight w:val="none"/>
          <w:u w:val="none" w:color="auto"/>
          <w:shd w:val="clear" w:color="auto" w:fill="auto"/>
          <w:lang w:eastAsia="zh-CN"/>
        </w:rPr>
      </w:pPr>
      <w:r>
        <w:rPr>
          <w:rFonts w:hint="default" w:ascii="Times New Roman" w:hAnsi="Times New Roman" w:eastAsia="仿宋_GB2312" w:cs="Times New Roman"/>
          <w:sz w:val="32"/>
          <w:szCs w:val="32"/>
        </w:rPr>
        <w:t>积极拓展政务公开渠道，充分利用网络平台、宣传栏、宣传页等多种方式，扩大政务公开面，</w:t>
      </w:r>
      <w:r>
        <w:rPr>
          <w:rFonts w:hint="default" w:ascii="Times New Roman" w:hAnsi="Times New Roman" w:eastAsia="仿宋_GB2312" w:cs="Times New Roman"/>
          <w:sz w:val="32"/>
          <w:szCs w:val="32"/>
          <w:highlight w:val="none"/>
        </w:rPr>
        <w:t>提高</w:t>
      </w:r>
      <w:r>
        <w:rPr>
          <w:rFonts w:hint="default" w:ascii="Times New Roman" w:hAnsi="Times New Roman" w:cs="Times New Roman"/>
          <w:sz w:val="32"/>
          <w:szCs w:val="32"/>
          <w:highlight w:val="none"/>
          <w:lang w:eastAsia="zh-CN"/>
        </w:rPr>
        <w:t>惠民政策</w:t>
      </w:r>
      <w:r>
        <w:rPr>
          <w:rFonts w:hint="default" w:ascii="Times New Roman" w:hAnsi="Times New Roman" w:eastAsia="仿宋_GB2312" w:cs="Times New Roman"/>
          <w:sz w:val="32"/>
          <w:szCs w:val="32"/>
          <w:highlight w:val="none"/>
        </w:rPr>
        <w:t>知晓度</w:t>
      </w:r>
      <w:r>
        <w:rPr>
          <w:rFonts w:hint="default" w:ascii="Times New Roman" w:hAnsi="Times New Roman" w:eastAsia="仿宋_GB2312" w:cs="Times New Roman"/>
          <w:sz w:val="32"/>
          <w:szCs w:val="32"/>
        </w:rPr>
        <w:t>。切实加强各类公开平台管理，严格落实专人运维管理，防止出现网络安全事故发生</w:t>
      </w:r>
      <w:r>
        <w:rPr>
          <w:rFonts w:hint="default" w:ascii="Times New Roman" w:hAnsi="Times New Roman" w:cs="Times New Roman"/>
          <w:sz w:val="32"/>
          <w:szCs w:val="32"/>
          <w:lang w:eastAsia="zh-CN"/>
        </w:rPr>
        <w:t>。</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90" w:lineRule="exact"/>
        <w:ind w:leftChars="200" w:right="0" w:rightChars="0"/>
        <w:jc w:val="left"/>
        <w:textAlignment w:val="auto"/>
        <w:rPr>
          <w:rFonts w:hint="default" w:ascii="Times New Roman" w:hAnsi="Times New Roman" w:eastAsia="楷体_GB2312" w:cs="Times New Roman"/>
          <w:b w:val="0"/>
          <w:bCs w:val="0"/>
          <w:color w:val="auto"/>
          <w:highlight w:val="none"/>
          <w:u w:val="none" w:color="auto"/>
          <w:shd w:val="clear" w:color="auto" w:fill="auto"/>
        </w:rPr>
      </w:pPr>
      <w:r>
        <w:rPr>
          <w:rFonts w:hint="default" w:ascii="Times New Roman" w:hAnsi="Times New Roman" w:eastAsia="楷体_GB2312" w:cs="Times New Roman"/>
          <w:b w:val="0"/>
          <w:bCs w:val="0"/>
          <w:color w:val="auto"/>
          <w:highlight w:val="none"/>
          <w:u w:val="none" w:color="auto"/>
          <w:shd w:val="clear" w:color="auto" w:fill="auto"/>
          <w:lang w:eastAsia="zh-CN"/>
        </w:rPr>
        <w:t>（五）</w:t>
      </w:r>
      <w:r>
        <w:rPr>
          <w:rFonts w:hint="default" w:ascii="Times New Roman" w:hAnsi="Times New Roman" w:eastAsia="楷体_GB2312" w:cs="Times New Roman"/>
          <w:b w:val="0"/>
          <w:bCs w:val="0"/>
          <w:color w:val="auto"/>
          <w:highlight w:val="none"/>
          <w:u w:val="none" w:color="auto"/>
          <w:shd w:val="clear" w:color="auto" w:fill="auto"/>
        </w:rPr>
        <w:t>监督保障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eastAsia="zh-CN"/>
        </w:rPr>
        <w:t>根据本年度人事调整和职责分工变化及时调整县民政局</w:t>
      </w:r>
      <w:r>
        <w:rPr>
          <w:rFonts w:hint="default" w:ascii="Times New Roman" w:hAnsi="Times New Roman" w:eastAsia="仿宋_GB2312" w:cs="Times New Roman"/>
          <w:sz w:val="32"/>
          <w:szCs w:val="32"/>
        </w:rPr>
        <w:t>政府信息公开工作领导小组，主要负责人任组长，领导小组下设办公室，组织、指导、协调、监督全局的政务信息公开工作。定期对政务公开工作进行自查，结合县政务公开办错敏词、错死链反馈，及时整改问题，确保政务公开工作的质量和效果</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eastAsia="zh-CN"/>
        </w:rPr>
        <w:t>对市县政务公开办和第三方等反馈的监测问题，</w:t>
      </w:r>
      <w:r>
        <w:rPr>
          <w:rFonts w:hint="default" w:ascii="Times New Roman" w:hAnsi="Times New Roman" w:eastAsia="仿宋_GB2312" w:cs="Times New Roman"/>
          <w:sz w:val="32"/>
          <w:szCs w:val="32"/>
        </w:rPr>
        <w:t>列出清单，逐</w:t>
      </w:r>
      <w:r>
        <w:rPr>
          <w:rFonts w:hint="default" w:ascii="Times New Roman" w:hAnsi="Times New Roman" w:eastAsia="仿宋_GB2312" w:cs="Times New Roman"/>
          <w:sz w:val="32"/>
          <w:szCs w:val="32"/>
          <w:lang w:eastAsia="zh-CN"/>
        </w:rPr>
        <w:t>股室</w:t>
      </w:r>
      <w:r>
        <w:rPr>
          <w:rFonts w:hint="default" w:ascii="Times New Roman" w:hAnsi="Times New Roman" w:eastAsia="仿宋_GB2312" w:cs="Times New Roman"/>
          <w:sz w:val="32"/>
          <w:szCs w:val="32"/>
        </w:rPr>
        <w:t>进行交办，明确目标，压实责任，限期整改。</w:t>
      </w:r>
      <w:r>
        <w:rPr>
          <w:rFonts w:hint="default" w:ascii="Times New Roman" w:hAnsi="Times New Roman" w:eastAsia="仿宋_GB2312" w:cs="Times New Roman"/>
          <w:sz w:val="32"/>
          <w:szCs w:val="32"/>
          <w:lang w:eastAsia="zh-CN"/>
        </w:rPr>
        <w:t>对整改不及时和不完善的，交办分管负责人进行调度。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二、主动公开政府信息情况</w:t>
      </w:r>
    </w:p>
    <w:tbl>
      <w:tblPr>
        <w:tblStyle w:val="3"/>
        <w:tblW w:w="0" w:type="auto"/>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现行有效件数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0"/>
                <w:szCs w:val="20"/>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0"/>
                <w:szCs w:val="20"/>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0"/>
                <w:szCs w:val="20"/>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0"/>
                <w:szCs w:val="20"/>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0"/>
                <w:szCs w:val="20"/>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0"/>
                <w:szCs w:val="20"/>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0"/>
                <w:szCs w:val="20"/>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0"/>
                <w:szCs w:val="20"/>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3570" w:firstLineChars="1700"/>
              <w:jc w:val="left"/>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1"/>
                <w:szCs w:val="21"/>
                <w:highlight w:val="none"/>
                <w:u w:val="none" w:color="auto"/>
                <w:shd w:val="clear" w:color="auto" w:fill="auto"/>
              </w:rPr>
              <w:t> </w:t>
            </w:r>
            <w:r>
              <w:rPr>
                <w:rFonts w:hint="eastAsia" w:ascii="仿宋_GB2312" w:hAnsi="仿宋_GB2312" w:eastAsia="仿宋_GB2312" w:cs="仿宋_GB2312"/>
                <w:color w:val="auto"/>
                <w:kern w:val="0"/>
                <w:sz w:val="21"/>
                <w:szCs w:val="21"/>
                <w:highlight w:val="none"/>
                <w:u w:val="none" w:color="auto"/>
                <w:shd w:val="clear" w:color="auto" w:fill="auto"/>
                <w:lang w:val="en-US" w:eastAsia="zh-CN"/>
              </w:rPr>
              <w:t>13</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0"/>
                <w:szCs w:val="20"/>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0"/>
                <w:szCs w:val="20"/>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0"/>
                <w:szCs w:val="20"/>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0"/>
                <w:szCs w:val="20"/>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3360" w:firstLineChars="1400"/>
              <w:textAlignment w:val="auto"/>
              <w:rPr>
                <w:rFonts w:hint="eastAsia" w:ascii="仿宋_GB2312" w:hAnsi="仿宋_GB2312" w:eastAsia="仿宋_GB2312" w:cs="仿宋_GB2312"/>
                <w:color w:val="auto"/>
                <w:sz w:val="24"/>
                <w:szCs w:val="24"/>
                <w:highlight w:val="none"/>
                <w:u w:val="none" w:color="auto"/>
                <w:shd w:val="clear" w:color="auto" w:fill="auto"/>
                <w:lang w:val="en-US" w:eastAsia="zh-CN"/>
              </w:rPr>
            </w:pPr>
            <w:r>
              <w:rPr>
                <w:rFonts w:hint="eastAsia" w:ascii="仿宋_GB2312" w:hAnsi="仿宋_GB2312" w:eastAsia="仿宋_GB2312" w:cs="仿宋_GB2312"/>
                <w:color w:val="auto"/>
                <w:sz w:val="24"/>
                <w:szCs w:val="24"/>
                <w:highlight w:val="none"/>
                <w:u w:val="none" w:color="auto"/>
                <w:shd w:val="clear" w:color="auto" w:fill="auto"/>
                <w:lang w:val="en-US" w:eastAsia="zh-CN"/>
              </w:rPr>
              <w:t>0</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jc w:val="both"/>
        <w:textAlignment w:val="auto"/>
        <w:rPr>
          <w:rFonts w:hint="default" w:ascii="Times New Roman" w:hAnsi="Times New Roman" w:eastAsia="黑体" w:cs="Times New Roman"/>
          <w:sz w:val="32"/>
          <w:szCs w:val="32"/>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三、收到和处理政府信息公开申请情况</w:t>
      </w:r>
    </w:p>
    <w:tbl>
      <w:tblPr>
        <w:tblStyle w:val="3"/>
        <w:tblW w:w="974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自然人</w:t>
            </w:r>
          </w:p>
        </w:tc>
        <w:tc>
          <w:tcPr>
            <w:tcW w:w="344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法人或其他组织</w:t>
            </w:r>
          </w:p>
        </w:tc>
        <w:tc>
          <w:tcPr>
            <w:tcW w:w="688" w:type="dxa"/>
            <w:vMerge w:val="restart"/>
            <w:tcBorders>
              <w:top w:val="single" w:color="auto" w:sz="8" w:space="0"/>
              <w:left w:val="nil"/>
              <w:bottom w:val="outset"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68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商业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企业</w:t>
            </w:r>
          </w:p>
        </w:tc>
        <w:tc>
          <w:tcPr>
            <w:tcW w:w="68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科研</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机构</w:t>
            </w:r>
          </w:p>
        </w:tc>
        <w:tc>
          <w:tcPr>
            <w:tcW w:w="688"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社会公益组织</w:t>
            </w:r>
          </w:p>
        </w:tc>
        <w:tc>
          <w:tcPr>
            <w:tcW w:w="688"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法律服务机构</w:t>
            </w:r>
          </w:p>
        </w:tc>
        <w:tc>
          <w:tcPr>
            <w:tcW w:w="688"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其他</w:t>
            </w:r>
          </w:p>
        </w:tc>
        <w:tc>
          <w:tcPr>
            <w:tcW w:w="688" w:type="dxa"/>
            <w:vMerge w:val="continue"/>
            <w:tcBorders>
              <w:top w:val="single" w:color="auto" w:sz="8" w:space="0"/>
              <w:left w:val="nil"/>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1</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三、本年度办理结果</w:t>
            </w: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（二）部分公开（区分处理的，只计这一情形，不计其他情形）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（三）不予公开</w:t>
            </w: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lang w:eastAsia="zh-CN"/>
              </w:rPr>
            </w:pPr>
            <w:r>
              <w:rPr>
                <w:rFonts w:hint="eastAsia" w:ascii="仿宋_GB2312" w:hAnsi="仿宋_GB2312" w:eastAsia="仿宋_GB2312" w:cs="仿宋_GB2312"/>
                <w:color w:val="auto"/>
                <w:kern w:val="0"/>
                <w:sz w:val="20"/>
                <w:szCs w:val="20"/>
                <w:highlight w:val="none"/>
                <w:u w:val="none" w:color="auto"/>
                <w:shd w:val="clear" w:color="auto" w:fill="auto"/>
              </w:rPr>
              <w:t>3.危及</w:t>
            </w:r>
            <w:r>
              <w:rPr>
                <w:rFonts w:hint="eastAsia" w:ascii="仿宋_GB2312" w:hAnsi="仿宋_GB2312" w:eastAsia="仿宋_GB2312" w:cs="仿宋_GB2312"/>
                <w:color w:val="auto"/>
                <w:kern w:val="0"/>
                <w:sz w:val="20"/>
                <w:szCs w:val="20"/>
                <w:highlight w:val="none"/>
                <w:u w:val="none" w:color="auto"/>
                <w:shd w:val="clear" w:color="auto" w:fill="auto"/>
                <w:lang w:eastAsia="zh-CN"/>
              </w:rPr>
              <w:t>“</w:t>
            </w:r>
            <w:r>
              <w:rPr>
                <w:rFonts w:hint="eastAsia" w:ascii="仿宋_GB2312" w:hAnsi="仿宋_GB2312" w:eastAsia="仿宋_GB2312" w:cs="仿宋_GB2312"/>
                <w:color w:val="auto"/>
                <w:kern w:val="0"/>
                <w:sz w:val="20"/>
                <w:szCs w:val="20"/>
                <w:highlight w:val="none"/>
                <w:u w:val="none" w:color="auto"/>
                <w:shd w:val="clear" w:color="auto" w:fill="auto"/>
              </w:rPr>
              <w:t>三安全一稳定</w:t>
            </w:r>
            <w:r>
              <w:rPr>
                <w:rFonts w:hint="eastAsia" w:ascii="仿宋_GB2312" w:hAnsi="仿宋_GB2312" w:eastAsia="仿宋_GB2312" w:cs="仿宋_GB2312"/>
                <w:color w:val="auto"/>
                <w:kern w:val="0"/>
                <w:sz w:val="20"/>
                <w:szCs w:val="20"/>
                <w:highlight w:val="none"/>
                <w:u w:val="none" w:color="auto"/>
                <w:shd w:val="clear" w:color="auto" w:fill="auto"/>
                <w:lang w:eastAsia="zh-CN"/>
              </w:rPr>
              <w:t>”</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（四）无法提供</w:t>
            </w: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（五）不予处理</w:t>
            </w: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321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（六）其他处理</w:t>
            </w:r>
          </w:p>
        </w:tc>
        <w:tc>
          <w:tcPr>
            <w:tcW w:w="321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3.其他</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32"/>
                <w:szCs w:val="32"/>
                <w:highlight w:val="none"/>
                <w:u w:val="none" w:color="auto"/>
                <w:shd w:val="clear" w:color="auto" w:fill="auto"/>
                <w:lang w:val="en-US" w:eastAsia="zh-CN" w:bidi="ar-SA"/>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1</w:t>
            </w:r>
            <w:r>
              <w:rPr>
                <w:rFonts w:hint="eastAsia" w:ascii="仿宋_GB2312" w:hAnsi="仿宋_GB2312" w:eastAsia="仿宋_GB2312" w:cs="仿宋_GB2312"/>
                <w:color w:val="auto"/>
                <w:kern w:val="0"/>
                <w:sz w:val="20"/>
                <w:szCs w:val="20"/>
                <w:highlight w:val="none"/>
                <w:u w:val="none" w:color="auto"/>
                <w:shd w:val="clear" w:color="auto" w:fill="auto"/>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 xml:space="preserve">  0</w:t>
            </w:r>
          </w:p>
        </w:tc>
      </w:tr>
    </w:tbl>
    <w:p>
      <w:pPr>
        <w:keepNext w:val="0"/>
        <w:keepLines w:val="0"/>
        <w:pageBreakBefore w:val="0"/>
        <w:widowControl/>
        <w:shd w:val="clear" w:color="auto" w:fill="FFFFFF"/>
        <w:kinsoku/>
        <w:wordWrap/>
        <w:overflowPunct/>
        <w:topLinePunct w:val="0"/>
        <w:autoSpaceDE/>
        <w:autoSpaceDN/>
        <w:bidi w:val="0"/>
        <w:adjustRightInd/>
        <w:snapToGrid/>
        <w:spacing w:line="590" w:lineRule="exact"/>
        <w:jc w:val="both"/>
        <w:textAlignment w:val="auto"/>
        <w:rPr>
          <w:rFonts w:hint="default" w:ascii="Times New Roman" w:hAnsi="Times New Roman" w:eastAsia="宋体" w:cs="Times New Roman"/>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宋体" w:cs="Times New Roman"/>
          <w:color w:val="auto"/>
          <w:sz w:val="24"/>
          <w:szCs w:val="24"/>
          <w:highlight w:val="none"/>
          <w:u w:val="none" w:color="auto"/>
          <w:shd w:val="clear" w:color="auto" w:fill="auto"/>
        </w:rPr>
      </w:pPr>
      <w:r>
        <w:rPr>
          <w:rFonts w:hint="default" w:ascii="Times New Roman" w:hAnsi="Times New Roman" w:eastAsia="黑体" w:cs="Times New Roman"/>
          <w:sz w:val="32"/>
          <w:szCs w:val="32"/>
        </w:rPr>
        <w:t>四、政府信息公开行政复议、行政诉讼情况</w:t>
      </w:r>
    </w:p>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行政复议</w:t>
            </w:r>
          </w:p>
        </w:tc>
        <w:tc>
          <w:tcPr>
            <w:tcW w:w="649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结果</w:t>
            </w:r>
            <w:r>
              <w:rPr>
                <w:rFonts w:hint="eastAsia" w:ascii="仿宋_GB2312" w:hAnsi="仿宋_GB2312" w:eastAsia="仿宋_GB2312" w:cs="仿宋_GB2312"/>
                <w:color w:val="auto"/>
                <w:kern w:val="0"/>
                <w:sz w:val="20"/>
                <w:szCs w:val="20"/>
                <w:highlight w:val="none"/>
                <w:u w:val="none" w:color="auto"/>
                <w:shd w:val="clear" w:color="auto" w:fill="auto"/>
              </w:rPr>
              <w:br w:type="textWrapping"/>
            </w:r>
            <w:r>
              <w:rPr>
                <w:rFonts w:hint="eastAsia" w:ascii="仿宋_GB2312" w:hAnsi="仿宋_GB2312" w:eastAsia="仿宋_GB2312" w:cs="仿宋_GB2312"/>
                <w:color w:val="auto"/>
                <w:kern w:val="0"/>
                <w:sz w:val="20"/>
                <w:szCs w:val="20"/>
                <w:highlight w:val="none"/>
                <w:u w:val="none" w:color="auto"/>
                <w:shd w:val="clear" w:color="auto" w:fill="auto"/>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其他</w:t>
            </w:r>
            <w:r>
              <w:rPr>
                <w:rFonts w:hint="eastAsia" w:ascii="仿宋_GB2312" w:hAnsi="仿宋_GB2312" w:eastAsia="仿宋_GB2312" w:cs="仿宋_GB2312"/>
                <w:color w:val="auto"/>
                <w:kern w:val="0"/>
                <w:sz w:val="20"/>
                <w:szCs w:val="20"/>
                <w:highlight w:val="none"/>
                <w:u w:val="none" w:color="auto"/>
                <w:shd w:val="clear" w:color="auto" w:fill="auto"/>
              </w:rPr>
              <w:br w:type="textWrapping"/>
            </w:r>
            <w:r>
              <w:rPr>
                <w:rFonts w:hint="eastAsia" w:ascii="仿宋_GB2312" w:hAnsi="仿宋_GB2312" w:eastAsia="仿宋_GB2312" w:cs="仿宋_GB2312"/>
                <w:color w:val="auto"/>
                <w:kern w:val="0"/>
                <w:sz w:val="20"/>
                <w:szCs w:val="20"/>
                <w:highlight w:val="none"/>
                <w:u w:val="none" w:color="auto"/>
                <w:shd w:val="clear" w:color="auto" w:fill="auto"/>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尚未</w:t>
            </w:r>
            <w:r>
              <w:rPr>
                <w:rFonts w:hint="eastAsia" w:ascii="仿宋_GB2312" w:hAnsi="仿宋_GB2312" w:eastAsia="仿宋_GB2312" w:cs="仿宋_GB2312"/>
                <w:color w:val="auto"/>
                <w:kern w:val="0"/>
                <w:sz w:val="20"/>
                <w:szCs w:val="20"/>
                <w:highlight w:val="none"/>
                <w:u w:val="none" w:color="auto"/>
                <w:shd w:val="clear" w:color="auto" w:fill="auto"/>
              </w:rPr>
              <w:br w:type="textWrapping"/>
            </w:r>
            <w:r>
              <w:rPr>
                <w:rFonts w:hint="eastAsia" w:ascii="仿宋_GB2312" w:hAnsi="仿宋_GB2312" w:eastAsia="仿宋_GB2312" w:cs="仿宋_GB2312"/>
                <w:color w:val="auto"/>
                <w:kern w:val="0"/>
                <w:sz w:val="20"/>
                <w:szCs w:val="20"/>
                <w:highlight w:val="none"/>
                <w:u w:val="none" w:color="auto"/>
                <w:shd w:val="clear" w:color="auto" w:fill="auto"/>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结果</w:t>
            </w:r>
            <w:r>
              <w:rPr>
                <w:rFonts w:hint="eastAsia" w:ascii="仿宋_GB2312" w:hAnsi="仿宋_GB2312" w:eastAsia="仿宋_GB2312" w:cs="仿宋_GB2312"/>
                <w:color w:val="auto"/>
                <w:kern w:val="0"/>
                <w:sz w:val="20"/>
                <w:szCs w:val="20"/>
                <w:highlight w:val="none"/>
                <w:u w:val="none" w:color="auto"/>
                <w:shd w:val="clear" w:color="auto" w:fill="auto"/>
              </w:rPr>
              <w:br w:type="textWrapping"/>
            </w:r>
            <w:r>
              <w:rPr>
                <w:rFonts w:hint="eastAsia" w:ascii="仿宋_GB2312" w:hAnsi="仿宋_GB2312" w:eastAsia="仿宋_GB2312" w:cs="仿宋_GB2312"/>
                <w:color w:val="auto"/>
                <w:kern w:val="0"/>
                <w:sz w:val="20"/>
                <w:szCs w:val="20"/>
                <w:highlight w:val="none"/>
                <w:u w:val="none" w:color="auto"/>
                <w:shd w:val="clear" w:color="auto" w:fill="auto"/>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结果</w:t>
            </w:r>
            <w:r>
              <w:rPr>
                <w:rFonts w:hint="eastAsia" w:ascii="仿宋_GB2312" w:hAnsi="仿宋_GB2312" w:eastAsia="仿宋_GB2312" w:cs="仿宋_GB2312"/>
                <w:color w:val="auto"/>
                <w:kern w:val="0"/>
                <w:sz w:val="20"/>
                <w:szCs w:val="20"/>
                <w:highlight w:val="none"/>
                <w:u w:val="none" w:color="auto"/>
                <w:shd w:val="clear" w:color="auto" w:fill="auto"/>
              </w:rPr>
              <w:br w:type="textWrapping"/>
            </w:r>
            <w:r>
              <w:rPr>
                <w:rFonts w:hint="eastAsia" w:ascii="仿宋_GB2312" w:hAnsi="仿宋_GB2312" w:eastAsia="仿宋_GB2312" w:cs="仿宋_GB2312"/>
                <w:color w:val="auto"/>
                <w:kern w:val="0"/>
                <w:sz w:val="20"/>
                <w:szCs w:val="20"/>
                <w:highlight w:val="none"/>
                <w:u w:val="none" w:color="auto"/>
                <w:shd w:val="clear" w:color="auto" w:fill="auto"/>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其他</w:t>
            </w:r>
            <w:r>
              <w:rPr>
                <w:rFonts w:hint="eastAsia" w:ascii="仿宋_GB2312" w:hAnsi="仿宋_GB2312" w:eastAsia="仿宋_GB2312" w:cs="仿宋_GB2312"/>
                <w:color w:val="auto"/>
                <w:kern w:val="0"/>
                <w:sz w:val="20"/>
                <w:szCs w:val="20"/>
                <w:highlight w:val="none"/>
                <w:u w:val="none" w:color="auto"/>
                <w:shd w:val="clear" w:color="auto" w:fill="auto"/>
              </w:rPr>
              <w:br w:type="textWrapping"/>
            </w:r>
            <w:r>
              <w:rPr>
                <w:rFonts w:hint="eastAsia" w:ascii="仿宋_GB2312" w:hAnsi="仿宋_GB2312" w:eastAsia="仿宋_GB2312" w:cs="仿宋_GB2312"/>
                <w:color w:val="auto"/>
                <w:kern w:val="0"/>
                <w:sz w:val="20"/>
                <w:szCs w:val="20"/>
                <w:highlight w:val="none"/>
                <w:u w:val="none" w:color="auto"/>
                <w:shd w:val="clear" w:color="auto" w:fill="auto"/>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尚未</w:t>
            </w:r>
            <w:r>
              <w:rPr>
                <w:rFonts w:hint="eastAsia" w:ascii="仿宋_GB2312" w:hAnsi="仿宋_GB2312" w:eastAsia="仿宋_GB2312" w:cs="仿宋_GB2312"/>
                <w:color w:val="auto"/>
                <w:kern w:val="0"/>
                <w:sz w:val="20"/>
                <w:szCs w:val="20"/>
                <w:highlight w:val="none"/>
                <w:u w:val="none" w:color="auto"/>
                <w:shd w:val="clear" w:color="auto" w:fill="auto"/>
              </w:rPr>
              <w:br w:type="textWrapping"/>
            </w:r>
            <w:r>
              <w:rPr>
                <w:rFonts w:hint="eastAsia" w:ascii="仿宋_GB2312" w:hAnsi="仿宋_GB2312" w:eastAsia="仿宋_GB2312" w:cs="仿宋_GB2312"/>
                <w:color w:val="auto"/>
                <w:kern w:val="0"/>
                <w:sz w:val="20"/>
                <w:szCs w:val="20"/>
                <w:highlight w:val="none"/>
                <w:u w:val="none" w:color="auto"/>
                <w:shd w:val="clear" w:color="auto" w:fill="auto"/>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结果</w:t>
            </w:r>
            <w:r>
              <w:rPr>
                <w:rFonts w:hint="eastAsia" w:ascii="仿宋_GB2312" w:hAnsi="仿宋_GB2312" w:eastAsia="仿宋_GB2312" w:cs="仿宋_GB2312"/>
                <w:color w:val="auto"/>
                <w:kern w:val="0"/>
                <w:sz w:val="20"/>
                <w:szCs w:val="20"/>
                <w:highlight w:val="none"/>
                <w:u w:val="none" w:color="auto"/>
                <w:shd w:val="clear" w:color="auto" w:fill="auto"/>
              </w:rPr>
              <w:br w:type="textWrapping"/>
            </w:r>
            <w:r>
              <w:rPr>
                <w:rFonts w:hint="eastAsia" w:ascii="仿宋_GB2312" w:hAnsi="仿宋_GB2312" w:eastAsia="仿宋_GB2312" w:cs="仿宋_GB2312"/>
                <w:color w:val="auto"/>
                <w:kern w:val="0"/>
                <w:sz w:val="20"/>
                <w:szCs w:val="20"/>
                <w:highlight w:val="none"/>
                <w:u w:val="none" w:color="auto"/>
                <w:shd w:val="clear" w:color="auto" w:fill="auto"/>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结果</w:t>
            </w:r>
            <w:r>
              <w:rPr>
                <w:rFonts w:hint="eastAsia" w:ascii="仿宋_GB2312" w:hAnsi="仿宋_GB2312" w:eastAsia="仿宋_GB2312" w:cs="仿宋_GB2312"/>
                <w:color w:val="auto"/>
                <w:kern w:val="0"/>
                <w:sz w:val="20"/>
                <w:szCs w:val="20"/>
                <w:highlight w:val="none"/>
                <w:u w:val="none" w:color="auto"/>
                <w:shd w:val="clear" w:color="auto" w:fill="auto"/>
              </w:rPr>
              <w:br w:type="textWrapping"/>
            </w:r>
            <w:r>
              <w:rPr>
                <w:rFonts w:hint="eastAsia" w:ascii="仿宋_GB2312" w:hAnsi="仿宋_GB2312" w:eastAsia="仿宋_GB2312" w:cs="仿宋_GB2312"/>
                <w:color w:val="auto"/>
                <w:kern w:val="0"/>
                <w:sz w:val="20"/>
                <w:szCs w:val="20"/>
                <w:highlight w:val="none"/>
                <w:u w:val="none" w:color="auto"/>
                <w:shd w:val="clear" w:color="auto" w:fill="auto"/>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其他</w:t>
            </w:r>
            <w:r>
              <w:rPr>
                <w:rFonts w:hint="eastAsia" w:ascii="仿宋_GB2312" w:hAnsi="仿宋_GB2312" w:eastAsia="仿宋_GB2312" w:cs="仿宋_GB2312"/>
                <w:color w:val="auto"/>
                <w:kern w:val="0"/>
                <w:sz w:val="20"/>
                <w:szCs w:val="20"/>
                <w:highlight w:val="none"/>
                <w:u w:val="none" w:color="auto"/>
                <w:shd w:val="clear" w:color="auto" w:fill="auto"/>
              </w:rPr>
              <w:br w:type="textWrapping"/>
            </w:r>
            <w:r>
              <w:rPr>
                <w:rFonts w:hint="eastAsia" w:ascii="仿宋_GB2312" w:hAnsi="仿宋_GB2312" w:eastAsia="仿宋_GB2312" w:cs="仿宋_GB2312"/>
                <w:color w:val="auto"/>
                <w:kern w:val="0"/>
                <w:sz w:val="20"/>
                <w:szCs w:val="20"/>
                <w:highlight w:val="none"/>
                <w:u w:val="none" w:color="auto"/>
                <w:shd w:val="clear" w:color="auto" w:fill="auto"/>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尚未</w:t>
            </w:r>
            <w:r>
              <w:rPr>
                <w:rFonts w:hint="eastAsia" w:ascii="仿宋_GB2312" w:hAnsi="仿宋_GB2312" w:eastAsia="仿宋_GB2312" w:cs="仿宋_GB2312"/>
                <w:color w:val="auto"/>
                <w:kern w:val="0"/>
                <w:sz w:val="20"/>
                <w:szCs w:val="20"/>
                <w:highlight w:val="none"/>
                <w:u w:val="none" w:color="auto"/>
                <w:shd w:val="clear" w:color="auto" w:fill="auto"/>
              </w:rPr>
              <w:br w:type="textWrapping"/>
            </w:r>
            <w:r>
              <w:rPr>
                <w:rFonts w:hint="eastAsia" w:ascii="仿宋_GB2312" w:hAnsi="仿宋_GB2312" w:eastAsia="仿宋_GB2312" w:cs="仿宋_GB2312"/>
                <w:color w:val="auto"/>
                <w:kern w:val="0"/>
                <w:sz w:val="20"/>
                <w:szCs w:val="20"/>
                <w:highlight w:val="none"/>
                <w:u w:val="none" w:color="auto"/>
                <w:shd w:val="clear" w:color="auto" w:fill="auto"/>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rPr>
            </w:pP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r>
              <w:rPr>
                <w:rFonts w:hint="eastAsia" w:ascii="仿宋_GB2312" w:hAnsi="仿宋_GB2312" w:eastAsia="仿宋_GB2312" w:cs="仿宋_GB2312"/>
                <w:color w:val="auto"/>
                <w:kern w:val="0"/>
                <w:sz w:val="20"/>
                <w:szCs w:val="20"/>
                <w:highlight w:val="none"/>
                <w:u w:val="none" w:color="auto"/>
                <w:shd w:val="clear" w:color="auto" w:fill="auto"/>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highlight w:val="none"/>
                <w:u w:val="none" w:color="auto"/>
                <w:shd w:val="clear" w:color="auto" w:fill="auto"/>
                <w:lang w:val="en-US" w:eastAsia="zh-CN"/>
              </w:rPr>
            </w:pPr>
            <w:r>
              <w:rPr>
                <w:rFonts w:hint="eastAsia" w:ascii="仿宋_GB2312" w:hAnsi="仿宋_GB2312" w:eastAsia="仿宋_GB2312" w:cs="仿宋_GB2312"/>
                <w:color w:val="auto"/>
                <w:kern w:val="0"/>
                <w:sz w:val="20"/>
                <w:szCs w:val="20"/>
                <w:highlight w:val="none"/>
                <w:u w:val="none" w:color="auto"/>
                <w:shd w:val="clear" w:color="auto" w:fill="auto"/>
              </w:rPr>
              <w:t> </w:t>
            </w:r>
            <w:r>
              <w:rPr>
                <w:rFonts w:hint="eastAsia" w:ascii="仿宋_GB2312" w:hAnsi="仿宋_GB2312" w:eastAsia="仿宋_GB2312" w:cs="仿宋_GB2312"/>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u w:val="none" w:color="auto"/>
                <w:shd w:val="clear" w:color="auto" w:fill="auto"/>
                <w:lang w:val="en-US" w:eastAsia="zh-CN"/>
              </w:rPr>
            </w:pPr>
            <w:r>
              <w:rPr>
                <w:rFonts w:hint="eastAsia" w:ascii="仿宋_GB2312" w:hAnsi="仿宋_GB2312" w:eastAsia="仿宋_GB2312" w:cs="仿宋_GB2312"/>
                <w:color w:val="auto"/>
                <w:sz w:val="24"/>
                <w:szCs w:val="24"/>
                <w:highlight w:val="none"/>
                <w:u w:val="none" w:color="auto"/>
                <w:shd w:val="clear" w:color="auto" w:fill="auto"/>
                <w:lang w:val="en-US" w:eastAsia="zh-CN"/>
              </w:rPr>
              <w:t>0</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存在的主要问题及改进情况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eastAsia" w:ascii="楷体_GB2312" w:hAnsi="楷体_GB2312" w:eastAsia="楷体_GB2312" w:cs="楷体_GB2312"/>
          <w:b w:val="0"/>
          <w:bCs w:val="0"/>
          <w:i w:val="0"/>
          <w:iCs w:val="0"/>
          <w:caps w:val="0"/>
          <w:color w:val="000000"/>
          <w:spacing w:val="0"/>
          <w:sz w:val="32"/>
          <w:szCs w:val="32"/>
          <w:shd w:val="clear" w:fill="FFFFFF"/>
        </w:rPr>
        <w:t>上年度整改情况：</w:t>
      </w:r>
      <w:r>
        <w:rPr>
          <w:rFonts w:hint="default" w:ascii="Times New Roman" w:hAnsi="Times New Roman" w:cs="Times New Roman"/>
          <w:b w:val="0"/>
          <w:bCs w:val="0"/>
          <w:i w:val="0"/>
          <w:iCs w:val="0"/>
          <w:caps w:val="0"/>
          <w:color w:val="000000"/>
          <w:spacing w:val="0"/>
          <w:sz w:val="32"/>
          <w:szCs w:val="32"/>
          <w:highlight w:val="none"/>
          <w:shd w:val="clear" w:fill="FFFFFF"/>
          <w:lang w:eastAsia="zh-CN"/>
        </w:rPr>
        <w:t>一是</w:t>
      </w:r>
      <w:r>
        <w:rPr>
          <w:rFonts w:hint="default" w:ascii="Times New Roman" w:hAnsi="Times New Roman" w:cs="Times New Roman"/>
          <w:sz w:val="32"/>
          <w:szCs w:val="32"/>
          <w:highlight w:val="none"/>
          <w:lang w:eastAsia="zh-CN"/>
        </w:rPr>
        <w:t>不断加大政府信息公开的力度，扩大公开内容的多样性、全面性；二是针对静态信息定期自查更新，确保公开内容的及时性。</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val="0"/>
          <w:bCs w:val="0"/>
          <w:i w:val="0"/>
          <w:iCs w:val="0"/>
          <w:caps w:val="0"/>
          <w:color w:val="000000"/>
          <w:spacing w:val="0"/>
          <w:sz w:val="32"/>
          <w:szCs w:val="32"/>
          <w:shd w:val="clear" w:fill="FFFFFF"/>
        </w:rPr>
        <w:t>本年度存在问题：</w:t>
      </w:r>
      <w:r>
        <w:rPr>
          <w:rFonts w:hint="default" w:ascii="Times New Roman" w:hAnsi="Times New Roman" w:eastAsia="仿宋_GB2312" w:cs="Times New Roman"/>
          <w:sz w:val="32"/>
          <w:szCs w:val="32"/>
        </w:rPr>
        <w:t>信息公开主动性有待提升。依然存在部分业务股室对信息公开工作认识不到位，存在公开不主动问题，导致部分政务信息的公开速度较慢，信息滞后于实际工作。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i w:val="0"/>
          <w:iCs w:val="0"/>
          <w:caps w:val="0"/>
          <w:color w:val="000000"/>
          <w:spacing w:val="0"/>
          <w:sz w:val="32"/>
          <w:szCs w:val="32"/>
          <w:shd w:val="clear" w:fill="FFFFFF"/>
        </w:rPr>
        <w:t>下一步改进举措：</w:t>
      </w:r>
      <w:r>
        <w:rPr>
          <w:rFonts w:hint="default" w:ascii="Times New Roman" w:hAnsi="Times New Roman" w:cs="Times New Roman"/>
          <w:b w:val="0"/>
          <w:bCs w:val="0"/>
          <w:i w:val="0"/>
          <w:iCs w:val="0"/>
          <w:caps w:val="0"/>
          <w:color w:val="000000"/>
          <w:spacing w:val="0"/>
          <w:sz w:val="32"/>
          <w:szCs w:val="32"/>
          <w:shd w:val="clear" w:fill="FFFFFF"/>
          <w:lang w:eastAsia="zh-CN"/>
        </w:rPr>
        <w:t>县民政</w:t>
      </w:r>
      <w:r>
        <w:rPr>
          <w:rFonts w:hint="default" w:ascii="Times New Roman" w:hAnsi="Times New Roman" w:eastAsia="仿宋_GB2312" w:cs="Times New Roman"/>
          <w:b w:val="0"/>
          <w:bCs w:val="0"/>
          <w:sz w:val="32"/>
          <w:szCs w:val="32"/>
        </w:rPr>
        <w:t>局</w:t>
      </w:r>
      <w:r>
        <w:rPr>
          <w:rFonts w:hint="default" w:ascii="Times New Roman" w:hAnsi="Times New Roman" w:eastAsia="仿宋_GB2312" w:cs="Times New Roman"/>
          <w:sz w:val="32"/>
          <w:szCs w:val="32"/>
        </w:rPr>
        <w:t>将深化和丰富政府信息公开内容。逐步扩大政府信息公开的范围，积极公开相关的政策措施。加强业务培训，结合本单位实际，加大对信息员的培训力度，积极组织参加各种学习培训会，提高责任心和业务素质。</w:t>
      </w:r>
      <w:r>
        <w:rPr>
          <w:rFonts w:hint="default" w:ascii="Times New Roman" w:hAnsi="Times New Roman" w:cs="Times New Roman"/>
          <w:i w:val="0"/>
          <w:iCs w:val="0"/>
          <w:caps w:val="0"/>
          <w:color w:val="333333"/>
          <w:spacing w:val="0"/>
          <w:sz w:val="32"/>
          <w:szCs w:val="32"/>
          <w:shd w:val="clear" w:fill="FFFFFF"/>
          <w:lang w:eastAsia="zh-CN"/>
        </w:rPr>
        <w:br w:type="textWrapping"/>
      </w:r>
      <w:r>
        <w:rPr>
          <w:rFonts w:hint="default" w:ascii="Times New Roman" w:hAnsi="Times New Roman" w:eastAsia="宋体" w:cs="Times New Roman"/>
          <w:sz w:val="24"/>
          <w:szCs w:val="24"/>
          <w:lang w:val="en-US" w:eastAsia="zh-CN"/>
        </w:rPr>
        <w:t xml:space="preserve">     </w:t>
      </w:r>
      <w:r>
        <w:rPr>
          <w:rFonts w:hint="default" w:ascii="Times New Roman" w:hAnsi="Times New Roman" w:eastAsia="黑体" w:cs="Times New Roman"/>
          <w:sz w:val="32"/>
          <w:szCs w:val="32"/>
        </w:rPr>
        <w:t>六、其他需要报告的事项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按照《国务院办公厅关于印发〈政府信息公开信息处理费管理办法〉的通知》（国办函〔2020〕109号）规定的按件、按量收费标准，本年度没有产生信息公开处理费</w:t>
      </w:r>
      <w:r>
        <w:rPr>
          <w:rFonts w:hint="default" w:ascii="Times New Roman" w:hAnsi="Times New Roman" w:cs="Times New Roman"/>
          <w:sz w:val="32"/>
          <w:szCs w:val="32"/>
          <w:lang w:eastAsia="zh-CN"/>
        </w:rPr>
        <w:t>。</w:t>
      </w: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综艺体简">
    <w:panose1 w:val="02010600000101010101"/>
    <w:charset w:val="86"/>
    <w:family w:val="auto"/>
    <w:pitch w:val="default"/>
    <w:sig w:usb0="00000001" w:usb1="080E0800" w:usb2="00000002" w:usb3="00000000" w:csb0="00040000" w:csb1="00000000"/>
  </w:font>
  <w:font w:name="CESI宋体-GB18030">
    <w:panose1 w:val="02000500000000000000"/>
    <w:charset w:val="86"/>
    <w:family w:val="auto"/>
    <w:pitch w:val="default"/>
    <w:sig w:usb0="A00002BF" w:usb1="38C77CFA" w:usb2="00000016" w:usb3="00000000" w:csb0="0004000F" w:csb1="00000000"/>
  </w:font>
  <w:font w:name="CESI小标宋-GB18030">
    <w:panose1 w:val="02000500000000000000"/>
    <w:charset w:val="86"/>
    <w:family w:val="auto"/>
    <w:pitch w:val="default"/>
    <w:sig w:usb0="A00002BF" w:usb1="38CF7CFA" w:usb2="00000016" w:usb3="00000000" w:csb0="0004000F" w:csb1="00000000"/>
  </w:font>
  <w:font w:name="CESI黑体-GB13000">
    <w:panose1 w:val="02000500000000000000"/>
    <w:charset w:val="86"/>
    <w:family w:val="auto"/>
    <w:pitch w:val="default"/>
    <w:sig w:usb0="800002BF" w:usb1="38CF7CF8" w:usb2="00000016" w:usb3="00000000" w:csb0="0004000F" w:csb1="00000000"/>
  </w:font>
  <w:font w:name="Dingbats">
    <w:panose1 w:val="00000000000000000000"/>
    <w:charset w:val="00"/>
    <w:family w:val="auto"/>
    <w:pitch w:val="default"/>
    <w:sig w:usb0="00000000" w:usb1="00000000" w:usb2="00000000" w:usb3="00000000" w:csb0="00000000" w:csb1="00000000"/>
  </w:font>
  <w:font w:name="MathJax_AMS">
    <w:panose1 w:val="00000000000000000000"/>
    <w:charset w:val="00"/>
    <w:family w:val="auto"/>
    <w:pitch w:val="default"/>
    <w:sig w:usb0="800000EF" w:usb1="1000ECED" w:usb2="00000000" w:usb3="00000000" w:csb0="2000008F" w:csb1="5E030000"/>
  </w:font>
  <w:font w:name="MathJax_Caligraphic">
    <w:panose1 w:val="00000000000000000000"/>
    <w:charset w:val="00"/>
    <w:family w:val="auto"/>
    <w:pitch w:val="default"/>
    <w:sig w:usb0="800000EF" w:usb1="1000ECED" w:usb2="00000000" w:usb3="00000000" w:csb0="2000008F" w:csb1="5E030000"/>
  </w:font>
  <w:font w:name="MathJax_Size4">
    <w:panose1 w:val="00000000000000000000"/>
    <w:charset w:val="00"/>
    <w:family w:val="auto"/>
    <w:pitch w:val="default"/>
    <w:sig w:usb0="800000EF" w:usb1="1000ECED" w:usb2="00000000" w:usb3="00000000" w:csb0="2000008F" w:csb1="5E030000"/>
  </w:font>
  <w:font w:name="Liberation Sans Narrow">
    <w:panose1 w:val="020B06060202020302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DejaVu Serif">
    <w:panose1 w:val="02060603050605020204"/>
    <w:charset w:val="00"/>
    <w:family w:val="auto"/>
    <w:pitch w:val="default"/>
    <w:sig w:usb0="E50006FF" w:usb1="5200F9FB" w:usb2="0A040020" w:usb3="00000000" w:csb0="6000009F" w:csb1="DFD70000"/>
  </w:font>
  <w:font w:name="CESI宋体-GB13000">
    <w:panose1 w:val="02000500000000000000"/>
    <w:charset w:val="86"/>
    <w:family w:val="auto"/>
    <w:pitch w:val="default"/>
    <w:sig w:usb0="800002BF" w:usb1="18C77CF8" w:usb2="00000016" w:usb3="00000000" w:csb0="0004000F" w:csb1="00000000"/>
  </w:font>
  <w:font w:name="汉仪行楷简">
    <w:panose1 w:val="02010600000101010101"/>
    <w:charset w:val="86"/>
    <w:family w:val="auto"/>
    <w:pitch w:val="default"/>
    <w:sig w:usb0="00000001" w:usb1="080E0800" w:usb2="00000002" w:usb3="00000000" w:csb0="00040000" w:csb1="00000000"/>
  </w:font>
  <w:font w:name="汉仪秋实 简">
    <w:panose1 w:val="00020600040101010101"/>
    <w:charset w:val="86"/>
    <w:family w:val="auto"/>
    <w:pitch w:val="default"/>
    <w:sig w:usb0="A000003F" w:usb1="4AC17CFA" w:usb2="00000016" w:usb3="00000000" w:csb0="0004009F" w:csb1="00000000"/>
  </w:font>
  <w:font w:name="汉仪猴嗨森体简">
    <w:panose1 w:val="02010509060101010101"/>
    <w:charset w:val="86"/>
    <w:family w:val="auto"/>
    <w:pitch w:val="default"/>
    <w:sig w:usb0="00000001" w:usb1="080E0000" w:usb2="00000000" w:usb3="00000000" w:csb0="00040000" w:csb1="00000000"/>
  </w:font>
  <w:font w:name="汉仪润圆-35简">
    <w:panose1 w:val="00020600040101010101"/>
    <w:charset w:val="86"/>
    <w:family w:val="auto"/>
    <w:pitch w:val="default"/>
    <w:sig w:usb0="A00002BF" w:usb1="1ACF7CFA" w:usb2="00000016" w:usb3="00000000" w:csb0="0004009F" w:csb1="DFD70000"/>
  </w:font>
  <w:font w:name="汉仪晓波美妍体W">
    <w:panose1 w:val="00020600040101010101"/>
    <w:charset w:val="86"/>
    <w:family w:val="auto"/>
    <w:pitch w:val="default"/>
    <w:sig w:usb0="A00002AF" w:usb1="0AC17CFA" w:usb2="00000016" w:usb3="00000000" w:csb0="0004009F" w:csb1="DFD70000"/>
  </w:font>
  <w:font w:name="汉仪咩咩体简">
    <w:panose1 w:val="02010509060101010101"/>
    <w:charset w:val="86"/>
    <w:family w:val="auto"/>
    <w:pitch w:val="default"/>
    <w:sig w:usb0="00000001" w:usb1="080E0000" w:usb2="00000000" w:usb3="00000000" w:csb0="00040000" w:csb1="00000000"/>
  </w:font>
  <w:font w:name="汉仪书宋二S">
    <w:panose1 w:val="00020600040101010101"/>
    <w:charset w:val="86"/>
    <w:family w:val="auto"/>
    <w:pitch w:val="default"/>
    <w:sig w:usb0="A00002BF" w:usb1="18EF7CFA" w:usb2="00000016" w:usb3="00000000" w:csb0="00040000" w:csb1="00000000"/>
  </w:font>
  <w:font w:name="汉仪中圆B5">
    <w:panose1 w:val="02010600000101010101"/>
    <w:charset w:val="88"/>
    <w:family w:val="auto"/>
    <w:pitch w:val="default"/>
    <w:sig w:usb0="00000001" w:usb1="080E0800" w:usb2="00000002" w:usb3="00000000" w:csb0="00100000" w:csb1="00000000"/>
  </w:font>
  <w:font w:name="方正超粗黑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1"/>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MmMzNDNkMTA5NGMxYzBkMDM2NjZkNDhjM2U2N2IifQ=="/>
  </w:docVars>
  <w:rsids>
    <w:rsidRoot w:val="53114EAE"/>
    <w:rsid w:val="018E267F"/>
    <w:rsid w:val="01CE11AE"/>
    <w:rsid w:val="01E90BB6"/>
    <w:rsid w:val="02174A13"/>
    <w:rsid w:val="022E2610"/>
    <w:rsid w:val="024648A1"/>
    <w:rsid w:val="02FB134F"/>
    <w:rsid w:val="030E5709"/>
    <w:rsid w:val="037828A2"/>
    <w:rsid w:val="05E06EC4"/>
    <w:rsid w:val="06D75FE6"/>
    <w:rsid w:val="074A2852"/>
    <w:rsid w:val="079846ED"/>
    <w:rsid w:val="07AC1D06"/>
    <w:rsid w:val="099B5D9B"/>
    <w:rsid w:val="09A71FD6"/>
    <w:rsid w:val="0AFB2D03"/>
    <w:rsid w:val="0C3268B6"/>
    <w:rsid w:val="0D0306FF"/>
    <w:rsid w:val="0D5C1217"/>
    <w:rsid w:val="0D695F08"/>
    <w:rsid w:val="0DC93C49"/>
    <w:rsid w:val="0DD379C5"/>
    <w:rsid w:val="0DF93EF3"/>
    <w:rsid w:val="0F4B7185"/>
    <w:rsid w:val="0F7E5555"/>
    <w:rsid w:val="0F8F506B"/>
    <w:rsid w:val="0FF77305"/>
    <w:rsid w:val="10072AEB"/>
    <w:rsid w:val="10111723"/>
    <w:rsid w:val="10DD77C5"/>
    <w:rsid w:val="10F76B5F"/>
    <w:rsid w:val="114B5CB9"/>
    <w:rsid w:val="116C36B2"/>
    <w:rsid w:val="11D60D43"/>
    <w:rsid w:val="11FE46AC"/>
    <w:rsid w:val="12C369D6"/>
    <w:rsid w:val="137010DA"/>
    <w:rsid w:val="13ED49B5"/>
    <w:rsid w:val="14A76DF4"/>
    <w:rsid w:val="14ED486E"/>
    <w:rsid w:val="154C4F1A"/>
    <w:rsid w:val="15D42A4A"/>
    <w:rsid w:val="16005E13"/>
    <w:rsid w:val="161208C2"/>
    <w:rsid w:val="162A22EF"/>
    <w:rsid w:val="166F1D7D"/>
    <w:rsid w:val="177133F6"/>
    <w:rsid w:val="185A3AA9"/>
    <w:rsid w:val="18CE3F92"/>
    <w:rsid w:val="18D74D5B"/>
    <w:rsid w:val="191931C8"/>
    <w:rsid w:val="19A2619E"/>
    <w:rsid w:val="19AD7DAB"/>
    <w:rsid w:val="1A056DD1"/>
    <w:rsid w:val="1A341C4F"/>
    <w:rsid w:val="1AD67034"/>
    <w:rsid w:val="1AFB471F"/>
    <w:rsid w:val="1B0C54C6"/>
    <w:rsid w:val="1B404906"/>
    <w:rsid w:val="1B5A1A13"/>
    <w:rsid w:val="1C57283E"/>
    <w:rsid w:val="1CAF1878"/>
    <w:rsid w:val="1D4A7A7E"/>
    <w:rsid w:val="1D7019C1"/>
    <w:rsid w:val="1E7E2837"/>
    <w:rsid w:val="1F6F071C"/>
    <w:rsid w:val="20C20382"/>
    <w:rsid w:val="21114B17"/>
    <w:rsid w:val="213B301C"/>
    <w:rsid w:val="22A445BE"/>
    <w:rsid w:val="245F5650"/>
    <w:rsid w:val="24942439"/>
    <w:rsid w:val="24D93EF0"/>
    <w:rsid w:val="262F6788"/>
    <w:rsid w:val="268E4FD5"/>
    <w:rsid w:val="270F1065"/>
    <w:rsid w:val="27A603BE"/>
    <w:rsid w:val="27B934D2"/>
    <w:rsid w:val="280609F1"/>
    <w:rsid w:val="281A32B6"/>
    <w:rsid w:val="285A4E6A"/>
    <w:rsid w:val="2891499A"/>
    <w:rsid w:val="29203E63"/>
    <w:rsid w:val="2A071407"/>
    <w:rsid w:val="2A1A389D"/>
    <w:rsid w:val="2A590976"/>
    <w:rsid w:val="2B3336A9"/>
    <w:rsid w:val="2B5E13D8"/>
    <w:rsid w:val="2B837698"/>
    <w:rsid w:val="2B8A0126"/>
    <w:rsid w:val="2BF64268"/>
    <w:rsid w:val="2C270DDC"/>
    <w:rsid w:val="2C39191E"/>
    <w:rsid w:val="2C615BFB"/>
    <w:rsid w:val="2C967BCF"/>
    <w:rsid w:val="2C9A7C9C"/>
    <w:rsid w:val="2DC14AE1"/>
    <w:rsid w:val="2DE32B32"/>
    <w:rsid w:val="2E734D05"/>
    <w:rsid w:val="2F802366"/>
    <w:rsid w:val="32E268D7"/>
    <w:rsid w:val="32F22C1C"/>
    <w:rsid w:val="343C1244"/>
    <w:rsid w:val="34CA3379"/>
    <w:rsid w:val="352B4AB9"/>
    <w:rsid w:val="355C7146"/>
    <w:rsid w:val="358C6BA2"/>
    <w:rsid w:val="364A0836"/>
    <w:rsid w:val="36AE33C6"/>
    <w:rsid w:val="37394FF4"/>
    <w:rsid w:val="375A12C0"/>
    <w:rsid w:val="37D20E2D"/>
    <w:rsid w:val="38CD6648"/>
    <w:rsid w:val="38F257EA"/>
    <w:rsid w:val="391145D6"/>
    <w:rsid w:val="39192A42"/>
    <w:rsid w:val="39341D7D"/>
    <w:rsid w:val="39F13F03"/>
    <w:rsid w:val="39FA5746"/>
    <w:rsid w:val="3ABB0C2D"/>
    <w:rsid w:val="3B344872"/>
    <w:rsid w:val="3B3B03AA"/>
    <w:rsid w:val="3B447979"/>
    <w:rsid w:val="3B746DE9"/>
    <w:rsid w:val="3B9F68BC"/>
    <w:rsid w:val="3BE90CB2"/>
    <w:rsid w:val="3D0A7531"/>
    <w:rsid w:val="3DC279CA"/>
    <w:rsid w:val="3DE92A2A"/>
    <w:rsid w:val="3E631EC9"/>
    <w:rsid w:val="3E9B3228"/>
    <w:rsid w:val="3EE35436"/>
    <w:rsid w:val="3F2C2DAD"/>
    <w:rsid w:val="3F7E49A7"/>
    <w:rsid w:val="3FCD5179"/>
    <w:rsid w:val="3FEA2437"/>
    <w:rsid w:val="3FEF2A00"/>
    <w:rsid w:val="40D20119"/>
    <w:rsid w:val="41ED0208"/>
    <w:rsid w:val="41F642E6"/>
    <w:rsid w:val="4220604D"/>
    <w:rsid w:val="42354104"/>
    <w:rsid w:val="42795E66"/>
    <w:rsid w:val="428B1279"/>
    <w:rsid w:val="43BE2ED4"/>
    <w:rsid w:val="43E66088"/>
    <w:rsid w:val="443566B4"/>
    <w:rsid w:val="448F711D"/>
    <w:rsid w:val="44B36BA0"/>
    <w:rsid w:val="45165834"/>
    <w:rsid w:val="45894C82"/>
    <w:rsid w:val="47A13681"/>
    <w:rsid w:val="480D458B"/>
    <w:rsid w:val="485701D5"/>
    <w:rsid w:val="485707C3"/>
    <w:rsid w:val="489068CF"/>
    <w:rsid w:val="48C55BE8"/>
    <w:rsid w:val="49532B3D"/>
    <w:rsid w:val="49637CD9"/>
    <w:rsid w:val="496E1345"/>
    <w:rsid w:val="496E5F0F"/>
    <w:rsid w:val="4A2C0617"/>
    <w:rsid w:val="4A5E47B8"/>
    <w:rsid w:val="4A8021A0"/>
    <w:rsid w:val="4B3F3B0A"/>
    <w:rsid w:val="4BE5533A"/>
    <w:rsid w:val="4BF6681A"/>
    <w:rsid w:val="4D1A562C"/>
    <w:rsid w:val="4D633FD3"/>
    <w:rsid w:val="4E9B09BB"/>
    <w:rsid w:val="4F1C4E7A"/>
    <w:rsid w:val="4F2845E1"/>
    <w:rsid w:val="4FC95523"/>
    <w:rsid w:val="4FEB39A4"/>
    <w:rsid w:val="4FF8734A"/>
    <w:rsid w:val="4FFC50AE"/>
    <w:rsid w:val="518B1B83"/>
    <w:rsid w:val="51A852D9"/>
    <w:rsid w:val="51E2030C"/>
    <w:rsid w:val="51E8779D"/>
    <w:rsid w:val="52853011"/>
    <w:rsid w:val="53114EAE"/>
    <w:rsid w:val="536D7202"/>
    <w:rsid w:val="538D16FD"/>
    <w:rsid w:val="53EC1C45"/>
    <w:rsid w:val="547430E6"/>
    <w:rsid w:val="55A8062F"/>
    <w:rsid w:val="5623367F"/>
    <w:rsid w:val="574A3FA5"/>
    <w:rsid w:val="57541E64"/>
    <w:rsid w:val="577517BB"/>
    <w:rsid w:val="58C7121B"/>
    <w:rsid w:val="58CF29A4"/>
    <w:rsid w:val="59A574E3"/>
    <w:rsid w:val="59E8510C"/>
    <w:rsid w:val="5A257C03"/>
    <w:rsid w:val="5B10154F"/>
    <w:rsid w:val="5BB24AE0"/>
    <w:rsid w:val="5BE970E2"/>
    <w:rsid w:val="5C531554"/>
    <w:rsid w:val="5C613819"/>
    <w:rsid w:val="5CB1055D"/>
    <w:rsid w:val="5D620995"/>
    <w:rsid w:val="5D7C559A"/>
    <w:rsid w:val="5EB202A0"/>
    <w:rsid w:val="5ED10F5B"/>
    <w:rsid w:val="5EF07CE7"/>
    <w:rsid w:val="5F376B0C"/>
    <w:rsid w:val="600D334C"/>
    <w:rsid w:val="60374E49"/>
    <w:rsid w:val="609B0F4A"/>
    <w:rsid w:val="60D61AB7"/>
    <w:rsid w:val="6206693C"/>
    <w:rsid w:val="631551DF"/>
    <w:rsid w:val="643B3AC6"/>
    <w:rsid w:val="64B00C67"/>
    <w:rsid w:val="6584550A"/>
    <w:rsid w:val="65A424FC"/>
    <w:rsid w:val="66087266"/>
    <w:rsid w:val="66BF6923"/>
    <w:rsid w:val="66EA6929"/>
    <w:rsid w:val="67380219"/>
    <w:rsid w:val="675C3921"/>
    <w:rsid w:val="67716DCA"/>
    <w:rsid w:val="677E3A5B"/>
    <w:rsid w:val="6941012B"/>
    <w:rsid w:val="69E834BF"/>
    <w:rsid w:val="6A34302F"/>
    <w:rsid w:val="6A55309E"/>
    <w:rsid w:val="6AAF3C51"/>
    <w:rsid w:val="6AC41CE1"/>
    <w:rsid w:val="6BBA6D75"/>
    <w:rsid w:val="6BF6342B"/>
    <w:rsid w:val="6DB34D31"/>
    <w:rsid w:val="6E023206"/>
    <w:rsid w:val="6E190C39"/>
    <w:rsid w:val="6EEE6694"/>
    <w:rsid w:val="6FBB0695"/>
    <w:rsid w:val="71053193"/>
    <w:rsid w:val="715E7372"/>
    <w:rsid w:val="7161027E"/>
    <w:rsid w:val="71B1300D"/>
    <w:rsid w:val="732125B6"/>
    <w:rsid w:val="749D7EF5"/>
    <w:rsid w:val="750E41C9"/>
    <w:rsid w:val="753A0FA3"/>
    <w:rsid w:val="75690001"/>
    <w:rsid w:val="756B7C19"/>
    <w:rsid w:val="756D4B9C"/>
    <w:rsid w:val="75C24031"/>
    <w:rsid w:val="75DF7A72"/>
    <w:rsid w:val="76334CD5"/>
    <w:rsid w:val="766D4D36"/>
    <w:rsid w:val="76873040"/>
    <w:rsid w:val="77706600"/>
    <w:rsid w:val="77772AAE"/>
    <w:rsid w:val="77D47CF8"/>
    <w:rsid w:val="788A6AA3"/>
    <w:rsid w:val="79497635"/>
    <w:rsid w:val="79B11A06"/>
    <w:rsid w:val="7A097AC3"/>
    <w:rsid w:val="7A4F052D"/>
    <w:rsid w:val="7A7A5D6A"/>
    <w:rsid w:val="7AA82B32"/>
    <w:rsid w:val="7AE42BF3"/>
    <w:rsid w:val="7AF76D22"/>
    <w:rsid w:val="7B6108B8"/>
    <w:rsid w:val="7BA71E71"/>
    <w:rsid w:val="7D1876CA"/>
    <w:rsid w:val="7D3134F6"/>
    <w:rsid w:val="7D35659D"/>
    <w:rsid w:val="7D5005DE"/>
    <w:rsid w:val="7D7D1AEE"/>
    <w:rsid w:val="7E5C1CAF"/>
    <w:rsid w:val="7E9722BA"/>
    <w:rsid w:val="7EC00D70"/>
    <w:rsid w:val="7ED4745E"/>
    <w:rsid w:val="7F924FD4"/>
    <w:rsid w:val="E9FF2805"/>
    <w:rsid w:val="F6BB0D84"/>
    <w:rsid w:val="FF7F6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spacing w:before="100" w:beforeAutospacing="1" w:after="100" w:afterAutospacing="1"/>
      <w:ind w:left="0" w:right="0"/>
      <w:jc w:val="left"/>
    </w:pPr>
    <w:rPr>
      <w:rFonts w:hint="default" w:ascii="宋体" w:hAnsi="宋体" w:eastAsia="宋体" w:cs="宋体"/>
      <w:kern w:val="0"/>
      <w:sz w:val="24"/>
      <w:szCs w:val="24"/>
      <w:lang w:val="en-US" w:eastAsia="zh-CN" w:bidi="ar"/>
    </w:rPr>
  </w:style>
  <w:style w:type="character" w:styleId="5">
    <w:name w:val="Strong"/>
    <w:basedOn w:val="4"/>
    <w:qFormat/>
    <w:uiPriority w:val="0"/>
    <w:rPr>
      <w:b/>
    </w:rPr>
  </w:style>
  <w:style w:type="paragraph" w:customStyle="1" w:styleId="6">
    <w:name w:val="Normal (Web)"/>
    <w:qFormat/>
    <w:uiPriority w:val="0"/>
    <w:pPr>
      <w:widowControl w:val="0"/>
      <w:spacing w:before="100" w:beforeAutospacing="1" w:after="100" w:afterAutospacing="1"/>
      <w:jc w:val="left"/>
    </w:pPr>
    <w:rPr>
      <w:rFonts w:ascii="仿宋_GB2312" w:hAnsi="Times New Roman" w:eastAsia="仿宋_GB2312" w:cs="Times New Roman"/>
      <w:kern w:val="0"/>
      <w:sz w:val="24"/>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2532</Words>
  <Characters>2654</Characters>
  <Lines>0</Lines>
  <Paragraphs>0</Paragraphs>
  <TotalTime>23</TotalTime>
  <ScaleCrop>false</ScaleCrop>
  <LinksUpToDate>false</LinksUpToDate>
  <CharactersWithSpaces>2859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2024-01-18T16:28:00Z</dcterms:created>
  <dc:creator>小玉儿</dc:creator>
  <cp:lastModifiedBy>administrator</cp:lastModifiedBy>
  <dcterms:modified xsi:type="dcterms:W3CDTF">2024-02-22T16:46:02Z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447311EBDEE74611B03B7254B70EA9F0_13</vt:lpwstr>
  </property>
</Properties>
</file>