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社会组织年检网上办理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填报指南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/>
        <w:jc w:val="both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 w:val="0"/>
          <w:sz w:val="32"/>
          <w:szCs w:val="32"/>
        </w:rPr>
        <w:t>（一）年检程序登录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1.用IE、谷歌、360等主流浏览器打开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="仿宋" w:hAnsi="仿宋" w:eastAsia="仿宋" w:cs="仿宋"/>
          <w:b w:val="0"/>
          <w:bCs/>
          <w:color w:val="FF2941"/>
          <w:spacing w:val="0"/>
          <w:kern w:val="0"/>
          <w:sz w:val="32"/>
          <w:szCs w:val="32"/>
          <w:lang w:val="en-US" w:eastAsia="zh-CN" w:bidi="ar"/>
        </w:rPr>
        <w:t>“安徽省社会组织管理信息系统”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（http://39.145.0.182:7878）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，点击网站上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kern w:val="0"/>
          <w:sz w:val="32"/>
          <w:szCs w:val="32"/>
          <w:lang w:val="en-US" w:eastAsia="zh-CN" w:bidi="ar"/>
        </w:rPr>
        <w:t>“社会组织用户登录”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28540" cy="2400300"/>
            <wp:effectExtent l="0" t="0" r="10160" b="0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color w:val="3C3C3C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2.城市选择，点击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“六安市”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3.社会组织用户实名认证步骤：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已经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在“安徽政务服务网”完成实名认证的社会组织用户，登录社会组织管理信息系统，请点击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“下一步”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，用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“法人账户”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登录系统。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在“安徽政务服务网”进行实名认证的社会组织用户，请先在“安徽政务服务网”进行实名认证，实名认证步骤如下：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color w:val="3C3C3C"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①线上认证：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意浏览器搜索安徽政务服务网官网（https://la.ahzwfw.gov.cn/），“切换区域与部门”中选择“六安市”，点击“注册”，先注册个人用户，个人用户为社会组织法人的个人身份信息，认证成功后再使用社会组织的信息注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册法人用户。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②线下认证：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若为法人本人办理，携带证书正本或副本原件、法人身份证原件至</w:t>
      </w:r>
      <w:r>
        <w:rPr>
          <w:rFonts w:hint="eastAsia" w:ascii="仿宋" w:hAnsi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政务服务中心办理认证；若为代理人办理，携带证书正本或副本原件、法人身份证原件、代理人身份证原件、授权委托书至</w:t>
      </w:r>
      <w:r>
        <w:rPr>
          <w:rFonts w:hint="eastAsia" w:ascii="仿宋" w:hAnsi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政务服务中心办理认证。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color w:val="3C3C3C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C3C3C"/>
          <w:sz w:val="32"/>
          <w:szCs w:val="32"/>
          <w:lang w:eastAsia="zh-CN"/>
        </w:rPr>
        <w:drawing>
          <wp:inline distT="0" distB="0" distL="114300" distR="114300">
            <wp:extent cx="5608320" cy="2420620"/>
            <wp:effectExtent l="0" t="0" r="11430" b="17780"/>
            <wp:docPr id="22" name="图片 22" descr="da325da58a8bf17e479d53fe87a75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a325da58a8bf17e479d53fe87a75ad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账号注册成功后，即实名认证成功，请再次登录社会组织管理信息系统。点击登录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“社会组织管理信息系统”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/>
        <w:jc w:val="both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 w:val="0"/>
          <w:sz w:val="32"/>
          <w:szCs w:val="32"/>
        </w:rPr>
        <w:t>（二）在线填报年检报告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“年检管理”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进入报告书填报页面，点击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“新增”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进入202</w:t>
      </w: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年度机构年检，分多页全部填完后点击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“结束”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即可，完成一页，只要点了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“提交”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，所填内容即保存，如果当日不再继续可退出，下次再进入仍点击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“编辑”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2.“内部建设情况”“财务会计报告”等内容在年检检查报告书中间部分--蓝色图标处，该位置中的所有信息均需完整填写，否则无法上报。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drawing>
          <wp:inline distT="0" distB="0" distL="114300" distR="114300">
            <wp:extent cx="5992495" cy="1791335"/>
            <wp:effectExtent l="0" t="0" r="8255" b="18415"/>
            <wp:docPr id="1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所有需要填报数字的输入框，请填报阿拉伯数字，如果没有内容，请填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“0”</w:t>
      </w:r>
      <w:r>
        <w:rPr>
          <w:rStyle w:val="7"/>
          <w:rFonts w:hint="eastAsia" w:ascii="仿宋" w:hAnsi="仿宋" w:cs="仿宋"/>
          <w:b w:val="0"/>
          <w:bCs/>
          <w:color w:val="FF2941"/>
          <w:sz w:val="32"/>
          <w:szCs w:val="32"/>
          <w:lang w:eastAsia="zh-CN"/>
        </w:rPr>
        <w:t>，财务报表上报前请校验无误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drawing>
          <wp:inline distT="0" distB="0" distL="114300" distR="114300">
            <wp:extent cx="4714240" cy="1830705"/>
            <wp:effectExtent l="0" t="0" r="10160" b="171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cs="仿宋"/>
          <w:b/>
          <w:bCs w:val="0"/>
          <w:sz w:val="32"/>
          <w:szCs w:val="32"/>
          <w:lang w:val="en-US" w:eastAsia="zh-CN"/>
        </w:rPr>
        <w:t>※4.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法人登记证书副本（正反面）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处</w:t>
      </w:r>
      <w:r>
        <w:rPr>
          <w:rStyle w:val="7"/>
          <w:rFonts w:hint="eastAsia" w:ascii="仿宋" w:hAnsi="仿宋" w:eastAsia="仿宋" w:cs="仿宋"/>
          <w:b/>
          <w:bCs w:val="0"/>
          <w:color w:val="FF2941"/>
          <w:sz w:val="32"/>
          <w:szCs w:val="32"/>
        </w:rPr>
        <w:t>上传年检附加材料：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执业许可证、</w:t>
      </w:r>
      <w:r>
        <w:rPr>
          <w:rFonts w:hint="eastAsia" w:ascii="仿宋" w:hAnsi="仿宋" w:eastAsia="仿宋" w:cs="仿宋"/>
          <w:b/>
          <w:bCs w:val="0"/>
          <w:color w:val="FF0000"/>
          <w:sz w:val="32"/>
          <w:szCs w:val="32"/>
        </w:rPr>
        <w:t>202</w:t>
      </w:r>
      <w:r>
        <w:rPr>
          <w:rFonts w:hint="eastAsia" w:ascii="仿宋" w:hAnsi="仿宋" w:cs="仿宋"/>
          <w:b/>
          <w:bCs w:val="0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color w:val="FF0000"/>
          <w:sz w:val="32"/>
          <w:szCs w:val="32"/>
        </w:rPr>
        <w:t>年度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银行明细、</w:t>
      </w:r>
      <w:r>
        <w:rPr>
          <w:rFonts w:hint="eastAsia" w:ascii="仿宋" w:hAnsi="仿宋" w:cs="仿宋"/>
          <w:b/>
          <w:bCs w:val="0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人员</w:t>
      </w:r>
      <w:r>
        <w:rPr>
          <w:rFonts w:hint="eastAsia" w:ascii="仿宋" w:hAnsi="仿宋" w:cs="仿宋"/>
          <w:b/>
          <w:bCs w:val="0"/>
          <w:sz w:val="32"/>
          <w:szCs w:val="32"/>
          <w:lang w:eastAsia="zh-CN"/>
        </w:rPr>
        <w:t>名单。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drawing>
          <wp:inline distT="0" distB="0" distL="114300" distR="114300">
            <wp:extent cx="5612130" cy="1734820"/>
            <wp:effectExtent l="0" t="0" r="7620" b="177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/>
        <w:jc w:val="both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 w:val="0"/>
          <w:sz w:val="32"/>
          <w:szCs w:val="32"/>
        </w:rPr>
        <w:t>（三）查看、修改和打印年检报告书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1.完成年检报告书填报后，可点击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“查看”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，以查看本单位填报的年检报告书。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drawing>
          <wp:inline distT="0" distB="0" distL="114300" distR="114300">
            <wp:extent cx="5820410" cy="1118870"/>
            <wp:effectExtent l="0" t="0" r="8890" b="5080"/>
            <wp:docPr id="1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2.提交年检报告书后：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（1）若状态栏显示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“待提交业务主管单位初审意见”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“打印”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可打印年检报告书纸质版，将纸质版报告书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提交到上级业务主管单位盖章。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drawing>
          <wp:inline distT="0" distB="0" distL="114300" distR="114300">
            <wp:extent cx="5189855" cy="1113790"/>
            <wp:effectExtent l="0" t="0" r="10795" b="10160"/>
            <wp:docPr id="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rcRect l="359" t="-283" r="37666" b="-874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（2）若状态栏显示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“预审不通过”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，点击“审核流程查看”，查看“审核意见”，点击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“复制”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</w:t>
      </w: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年度年检，进行修改提交，若状态栏显示“待提交业务主管单位初审意见”，重复第一点步骤。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/>
        <w:jc w:val="both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 w:val="0"/>
          <w:sz w:val="32"/>
          <w:szCs w:val="32"/>
        </w:rPr>
        <w:t>（四）提交年检报告书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提交上级业务主管单位盖章后，再次进入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“安徽省社会组织管理信息系统”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（http://39.145.0.182:7878）点击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“提交初审意见”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进入上传页面，上传年检报告书纸质版</w:t>
      </w:r>
      <w:r>
        <w:rPr>
          <w:rFonts w:hint="eastAsia" w:ascii="仿宋" w:hAnsi="仿宋" w:cs="仿宋"/>
          <w:b w:val="0"/>
          <w:bCs/>
          <w:color w:val="FF0000"/>
          <w:sz w:val="32"/>
          <w:szCs w:val="32"/>
          <w:lang w:eastAsia="zh-CN"/>
        </w:rPr>
        <w:t>业务主管单位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32"/>
        </w:rPr>
        <w:t>盖章</w:t>
      </w:r>
      <w:r>
        <w:rPr>
          <w:rFonts w:hint="eastAsia" w:ascii="仿宋" w:hAnsi="仿宋" w:cs="仿宋"/>
          <w:b w:val="0"/>
          <w:bCs/>
          <w:color w:val="FF000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。点击</w:t>
      </w:r>
      <w:r>
        <w:rPr>
          <w:rStyle w:val="7"/>
          <w:rFonts w:hint="eastAsia" w:ascii="仿宋" w:hAnsi="仿宋" w:eastAsia="仿宋" w:cs="仿宋"/>
          <w:b w:val="0"/>
          <w:bCs/>
          <w:color w:val="FF2941"/>
          <w:sz w:val="32"/>
          <w:szCs w:val="32"/>
        </w:rPr>
        <w:t>“上报”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完成。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drawing>
          <wp:inline distT="0" distB="0" distL="114300" distR="114300">
            <wp:extent cx="5568315" cy="805180"/>
            <wp:effectExtent l="0" t="0" r="13335" b="13970"/>
            <wp:docPr id="8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IMG_268"/>
                    <pic:cNvPicPr>
                      <a:picLocks noChangeAspect="1"/>
                    </pic:cNvPicPr>
                  </pic:nvPicPr>
                  <pic:blipFill>
                    <a:blip r:embed="rId13"/>
                    <a:srcRect t="-1939" r="41257"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drawing>
          <wp:inline distT="0" distB="0" distL="114300" distR="114300">
            <wp:extent cx="3409950" cy="1428750"/>
            <wp:effectExtent l="0" t="0" r="0" b="0"/>
            <wp:docPr id="12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IMG_26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drawing>
          <wp:inline distT="0" distB="0" distL="114300" distR="114300">
            <wp:extent cx="4879975" cy="1168400"/>
            <wp:effectExtent l="0" t="0" r="15875" b="12700"/>
            <wp:docPr id="13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IMG_270"/>
                    <pic:cNvPicPr>
                      <a:picLocks noChangeAspect="1"/>
                    </pic:cNvPicPr>
                  </pic:nvPicPr>
                  <pic:blipFill>
                    <a:blip r:embed="rId15"/>
                    <a:srcRect t="-148" r="39179"/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drawing>
          <wp:inline distT="0" distB="0" distL="114300" distR="114300">
            <wp:extent cx="5636895" cy="777875"/>
            <wp:effectExtent l="0" t="0" r="1905" b="3175"/>
            <wp:docPr id="4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IMG_271"/>
                    <pic:cNvPicPr>
                      <a:picLocks noChangeAspect="1"/>
                    </pic:cNvPicPr>
                  </pic:nvPicPr>
                  <pic:blipFill>
                    <a:blip r:embed="rId16"/>
                    <a:srcRect r="38498" b="-4143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/>
        <w:jc w:val="both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 w:val="0"/>
          <w:sz w:val="32"/>
          <w:szCs w:val="32"/>
        </w:rPr>
        <w:t>（五）查询年检结果和后续事宜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1.年检材料经审查后，登记管理机关将作出年检结论并公布。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2.参检单位可以随时登录年检系统，查看年检状态和结果。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3.对“年检基本合格”或“年检不合格”的社会组织，责令其进行整改，整改期限为三个月。整改结束后，应当向业务主管单位和登记管理机关报送整改报告书，登记管理机关对整改结果进行评定并出具意见。</w:t>
      </w:r>
    </w:p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4F463C"/>
    <w:multiLevelType w:val="singleLevel"/>
    <w:tmpl w:val="9F4F463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NjVmYWNlYzcxNTM4YThjYWNhMTMwNDNiMTIyYjIifQ=="/>
  </w:docVars>
  <w:rsids>
    <w:rsidRoot w:val="02F93DB0"/>
    <w:rsid w:val="02F93DB0"/>
    <w:rsid w:val="0A9D3489"/>
    <w:rsid w:val="1FC73151"/>
    <w:rsid w:val="5EA516AB"/>
    <w:rsid w:val="62312453"/>
    <w:rsid w:val="7D7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2024-03-29T03:44:00Z</dcterms:created>
  <dc:creator>.</dc:creator>
  <cp:lastModifiedBy>.</cp:lastModifiedBy>
  <dcterms:modified xsi:type="dcterms:W3CDTF">2024-03-29T03:51:22Z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498C48ED5C714C3ABE787441A16DC65C_11</vt:lpwstr>
  </property>
</Properties>
</file>