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bidi w:val="0"/>
        <w:snapToGrid/>
        <w:spacing w:line="500" w:lineRule="exact"/>
        <w:textAlignment w:val="auto"/>
        <w:rPr>
          <w:rFonts w:eastAsia="仿宋_GB2312"/>
          <w:sz w:val="32"/>
          <w:szCs w:val="32"/>
        </w:rPr>
      </w:pPr>
    </w:p>
    <w:p>
      <w:pPr>
        <w:keepNext w:val="0"/>
        <w:keepLines w:val="0"/>
        <w:pageBreakBefore w:val="0"/>
        <w:widowControl w:val="0"/>
        <w:kinsoku/>
        <w:wordWrap/>
        <w:overflowPunct/>
        <w:topLinePunct w:val="0"/>
        <w:bidi w:val="0"/>
        <w:snapToGrid/>
        <w:spacing w:line="500" w:lineRule="exact"/>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仿宋_GB2312"/>
          <w:sz w:val="32"/>
          <w:szCs w:val="32"/>
        </w:rPr>
      </w:pPr>
    </w:p>
    <w:p>
      <w:pPr>
        <w:pStyle w:val="10"/>
        <w:keepNext w:val="0"/>
        <w:keepLines w:val="0"/>
        <w:pageBreakBefore w:val="0"/>
        <w:widowControl w:val="0"/>
        <w:kinsoku/>
        <w:wordWrap/>
        <w:overflowPunct/>
        <w:topLinePunct w:val="0"/>
        <w:autoSpaceDE/>
        <w:autoSpaceDN/>
        <w:bidi w:val="0"/>
        <w:adjustRightInd/>
        <w:snapToGrid/>
        <w:spacing w:after="0" w:line="400" w:lineRule="exact"/>
        <w:textAlignment w:val="auto"/>
      </w:pPr>
    </w:p>
    <w:p/>
    <w:p>
      <w:pPr>
        <w:keepNext w:val="0"/>
        <w:keepLines w:val="0"/>
        <w:pageBreakBefore w:val="0"/>
        <w:widowControl w:val="0"/>
        <w:kinsoku/>
        <w:wordWrap/>
        <w:overflowPunct/>
        <w:topLinePunct w:val="0"/>
        <w:bidi w:val="0"/>
        <w:snapToGrid/>
        <w:spacing w:line="500" w:lineRule="exact"/>
        <w:jc w:val="right"/>
        <w:textAlignment w:val="auto"/>
        <w:rPr>
          <w:rFonts w:hint="eastAsia" w:ascii="仿宋" w:hAnsi="仿宋" w:eastAsia="仿宋" w:cs="仿宋"/>
          <w:sz w:val="32"/>
          <w:szCs w:val="32"/>
        </w:rPr>
      </w:pPr>
      <w:r>
        <w:rPr>
          <w:rFonts w:hint="eastAsia" w:ascii="仿宋" w:hAnsi="仿宋" w:eastAsia="仿宋" w:cs="仿宋"/>
          <w:sz w:val="32"/>
          <w:szCs w:val="32"/>
        </w:rPr>
        <w:t>金环审〔202</w:t>
      </w:r>
      <w:r>
        <w:rPr>
          <w:rFonts w:hint="eastAsia" w:ascii="仿宋" w:hAnsi="仿宋" w:eastAsia="仿宋" w:cs="仿宋"/>
          <w:sz w:val="32"/>
          <w:szCs w:val="32"/>
          <w:lang w:val="en-US" w:eastAsia="zh-CN"/>
        </w:rPr>
        <w:t>4</w:t>
      </w:r>
      <w:r>
        <w:rPr>
          <w:rFonts w:hint="eastAsia" w:ascii="仿宋" w:hAnsi="仿宋" w:eastAsia="仿宋" w:cs="仿宋"/>
          <w:sz w:val="32"/>
          <w:szCs w:val="32"/>
        </w:rPr>
        <w:t>〕</w:t>
      </w:r>
      <w:r>
        <w:rPr>
          <w:rFonts w:hint="eastAsia" w:ascii="仿宋" w:hAnsi="仿宋" w:eastAsia="仿宋" w:cs="仿宋"/>
          <w:sz w:val="32"/>
          <w:szCs w:val="32"/>
          <w:lang w:val="en-US" w:eastAsia="zh-CN"/>
        </w:rPr>
        <w:t>9</w:t>
      </w:r>
      <w:r>
        <w:rPr>
          <w:rFonts w:hint="eastAsia" w:ascii="仿宋" w:hAnsi="仿宋" w:eastAsia="仿宋" w:cs="仿宋"/>
          <w:sz w:val="32"/>
          <w:szCs w:val="32"/>
        </w:rPr>
        <w:t>号</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宋体" w:eastAsia="方正小标宋简体" w:cs="宋体"/>
          <w:bCs/>
          <w:kern w:val="10"/>
          <w:sz w:val="44"/>
          <w:szCs w:val="44"/>
          <w:lang w:val="en-US" w:eastAsia="zh-CN"/>
        </w:rPr>
      </w:pPr>
      <w:r>
        <w:rPr>
          <w:rFonts w:hint="eastAsia" w:ascii="方正小标宋简体" w:hAnsi="宋体" w:eastAsia="方正小标宋简体" w:cs="宋体"/>
          <w:bCs/>
          <w:kern w:val="10"/>
          <w:sz w:val="44"/>
          <w:szCs w:val="44"/>
        </w:rPr>
        <w:t>六安市金寨县生态环境分局关于</w:t>
      </w:r>
      <w:r>
        <w:rPr>
          <w:rFonts w:hint="eastAsia" w:ascii="方正小标宋简体" w:hAnsi="宋体" w:eastAsia="方正小标宋简体" w:cs="宋体"/>
          <w:bCs/>
          <w:kern w:val="10"/>
          <w:sz w:val="44"/>
          <w:szCs w:val="44"/>
          <w:lang w:eastAsia="zh-CN"/>
        </w:rPr>
        <w:t>安徽意圆鑫新型材料科技有限公司</w:t>
      </w:r>
      <w:r>
        <w:rPr>
          <w:rFonts w:hint="eastAsia" w:ascii="方正小标宋简体" w:hAnsi="宋体" w:eastAsia="方正小标宋简体" w:cs="宋体"/>
          <w:bCs/>
          <w:kern w:val="10"/>
          <w:sz w:val="44"/>
          <w:szCs w:val="44"/>
          <w:lang w:val="en-US" w:eastAsia="zh-CN"/>
        </w:rPr>
        <w:t>年处理5万吨废硅橡</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方正小标宋简体" w:hAnsi="宋体" w:eastAsia="方正小标宋简体" w:cs="宋体"/>
          <w:bCs/>
          <w:kern w:val="10"/>
          <w:sz w:val="44"/>
          <w:szCs w:val="44"/>
        </w:rPr>
      </w:pPr>
      <w:r>
        <w:rPr>
          <w:rFonts w:hint="eastAsia" w:ascii="方正小标宋简体" w:hAnsi="宋体" w:eastAsia="方正小标宋简体" w:cs="宋体"/>
          <w:bCs/>
          <w:kern w:val="10"/>
          <w:sz w:val="44"/>
          <w:szCs w:val="44"/>
          <w:lang w:val="en-US" w:eastAsia="zh-CN"/>
        </w:rPr>
        <w:t>胶项目</w:t>
      </w:r>
      <w:r>
        <w:rPr>
          <w:rFonts w:hint="eastAsia" w:ascii="方正小标宋简体" w:hAnsi="宋体" w:eastAsia="方正小标宋简体" w:cs="宋体"/>
          <w:bCs/>
          <w:kern w:val="10"/>
          <w:sz w:val="44"/>
          <w:szCs w:val="44"/>
        </w:rPr>
        <w:t>环境影响</w:t>
      </w:r>
      <w:r>
        <w:rPr>
          <w:rFonts w:hint="eastAsia" w:ascii="方正小标宋简体" w:hAnsi="宋体" w:eastAsia="方正小标宋简体" w:cs="宋体"/>
          <w:bCs/>
          <w:kern w:val="10"/>
          <w:sz w:val="44"/>
          <w:szCs w:val="44"/>
          <w:lang w:eastAsia="zh-CN"/>
        </w:rPr>
        <w:t>报告</w:t>
      </w:r>
      <w:r>
        <w:rPr>
          <w:rFonts w:hint="eastAsia" w:ascii="方正小标宋简体" w:hAnsi="宋体" w:eastAsia="方正小标宋简体" w:cs="宋体"/>
          <w:bCs/>
          <w:kern w:val="10"/>
          <w:sz w:val="44"/>
          <w:szCs w:val="44"/>
          <w:lang w:val="en-US" w:eastAsia="zh-CN"/>
        </w:rPr>
        <w:t>表</w:t>
      </w:r>
      <w:r>
        <w:rPr>
          <w:rFonts w:hint="eastAsia" w:ascii="方正小标宋简体" w:hAnsi="宋体" w:eastAsia="方正小标宋简体" w:cs="宋体"/>
          <w:bCs/>
          <w:kern w:val="10"/>
          <w:sz w:val="44"/>
          <w:szCs w:val="44"/>
        </w:rPr>
        <w:t>的批复</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 w:hAnsi="仿宋" w:eastAsia="仿宋" w:cs="仿宋"/>
          <w:color w:val="000000"/>
          <w:kern w:val="10"/>
          <w:sz w:val="32"/>
          <w:szCs w:val="32"/>
        </w:rPr>
      </w:pPr>
      <w:r>
        <w:rPr>
          <w:rFonts w:hint="eastAsia" w:ascii="仿宋" w:hAnsi="仿宋" w:eastAsia="仿宋" w:cs="仿宋"/>
          <w:color w:val="000000"/>
          <w:kern w:val="10"/>
          <w:sz w:val="32"/>
          <w:szCs w:val="32"/>
          <w:lang w:eastAsia="zh-CN"/>
        </w:rPr>
        <w:t>安徽意圆鑫新型材料科技有限公司</w:t>
      </w:r>
      <w:r>
        <w:rPr>
          <w:rFonts w:hint="eastAsia" w:ascii="仿宋" w:hAnsi="仿宋" w:eastAsia="仿宋" w:cs="仿宋"/>
          <w:color w:val="000000"/>
          <w:kern w:val="10"/>
          <w:sz w:val="32"/>
          <w:szCs w:val="32"/>
        </w:rPr>
        <w:t>：</w:t>
      </w:r>
    </w:p>
    <w:p>
      <w:pPr>
        <w:pStyle w:val="3"/>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color w:val="000000"/>
          <w:kern w:val="10"/>
          <w:sz w:val="32"/>
          <w:szCs w:val="32"/>
          <w:lang w:val="zh-CN"/>
        </w:rPr>
      </w:pPr>
      <w:r>
        <w:rPr>
          <w:rFonts w:hint="eastAsia" w:ascii="仿宋" w:hAnsi="仿宋" w:eastAsia="仿宋" w:cs="仿宋"/>
          <w:color w:val="000000"/>
          <w:kern w:val="10"/>
          <w:sz w:val="32"/>
          <w:szCs w:val="32"/>
          <w:lang w:val="zh-CN"/>
        </w:rPr>
        <w:t>你公司报来的《</w:t>
      </w:r>
      <w:r>
        <w:rPr>
          <w:rFonts w:hint="eastAsia" w:ascii="仿宋" w:hAnsi="仿宋" w:eastAsia="仿宋" w:cs="仿宋"/>
          <w:color w:val="000000"/>
          <w:kern w:val="10"/>
          <w:sz w:val="32"/>
          <w:szCs w:val="32"/>
          <w:lang w:val="zh-CN" w:eastAsia="zh-CN"/>
        </w:rPr>
        <w:t>年处理5万吨废硅橡胶项目</w:t>
      </w:r>
      <w:r>
        <w:rPr>
          <w:rFonts w:hint="eastAsia" w:ascii="仿宋" w:hAnsi="仿宋" w:eastAsia="仿宋" w:cs="仿宋"/>
          <w:color w:val="000000"/>
          <w:kern w:val="10"/>
          <w:sz w:val="32"/>
          <w:szCs w:val="32"/>
        </w:rPr>
        <w:t>环境影响报告表</w:t>
      </w:r>
      <w:r>
        <w:rPr>
          <w:rFonts w:hint="eastAsia" w:ascii="仿宋" w:hAnsi="仿宋" w:eastAsia="仿宋" w:cs="仿宋"/>
          <w:color w:val="000000"/>
          <w:kern w:val="10"/>
          <w:sz w:val="32"/>
          <w:szCs w:val="32"/>
          <w:lang w:val="zh-CN"/>
        </w:rPr>
        <w:t>》（以下简称《报告表》，项目</w:t>
      </w:r>
      <w:r>
        <w:rPr>
          <w:rFonts w:hint="eastAsia" w:ascii="仿宋" w:hAnsi="仿宋" w:eastAsia="仿宋" w:cs="仿宋"/>
          <w:color w:val="000000"/>
          <w:kern w:val="10"/>
          <w:sz w:val="32"/>
          <w:szCs w:val="32"/>
          <w:lang w:val="en-US" w:eastAsia="zh-CN"/>
        </w:rPr>
        <w:t>代码：2312-341524-04-05-342297</w:t>
      </w:r>
      <w:r>
        <w:rPr>
          <w:rFonts w:hint="eastAsia" w:ascii="仿宋" w:hAnsi="仿宋" w:eastAsia="仿宋" w:cs="仿宋"/>
          <w:color w:val="000000"/>
          <w:kern w:val="10"/>
          <w:sz w:val="32"/>
          <w:szCs w:val="32"/>
          <w:lang w:val="zh-CN"/>
        </w:rPr>
        <w:t>）</w:t>
      </w:r>
      <w:r>
        <w:rPr>
          <w:rFonts w:hint="eastAsia" w:ascii="仿宋" w:hAnsi="仿宋" w:eastAsia="仿宋" w:cs="仿宋"/>
          <w:color w:val="000000"/>
          <w:kern w:val="10"/>
          <w:sz w:val="32"/>
          <w:szCs w:val="32"/>
          <w:lang w:val="zh-CN" w:eastAsia="zh-CN"/>
        </w:rPr>
        <w:t>及相关申请材料收悉</w:t>
      </w:r>
      <w:r>
        <w:rPr>
          <w:rFonts w:hint="eastAsia" w:ascii="仿宋" w:hAnsi="仿宋" w:eastAsia="仿宋" w:cs="仿宋"/>
          <w:color w:val="000000"/>
          <w:kern w:val="10"/>
          <w:sz w:val="32"/>
          <w:szCs w:val="32"/>
          <w:lang w:val="zh-CN"/>
        </w:rPr>
        <w:t>，经研究，批复如下：</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color w:val="000000"/>
          <w:kern w:val="10"/>
          <w:sz w:val="32"/>
          <w:szCs w:val="32"/>
        </w:rPr>
      </w:pPr>
      <w:r>
        <w:rPr>
          <w:rFonts w:hint="eastAsia" w:ascii="仿宋" w:hAnsi="仿宋" w:eastAsia="仿宋" w:cs="仿宋"/>
          <w:kern w:val="10"/>
          <w:sz w:val="32"/>
          <w:szCs w:val="32"/>
          <w:lang w:val="zh-CN" w:eastAsia="zh-CN" w:bidi="ar-SA"/>
        </w:rPr>
        <w:t>该</w:t>
      </w:r>
      <w:r>
        <w:rPr>
          <w:rFonts w:hint="eastAsia" w:ascii="仿宋" w:hAnsi="仿宋" w:eastAsia="仿宋" w:cs="仿宋"/>
          <w:color w:val="000000"/>
          <w:kern w:val="10"/>
          <w:sz w:val="32"/>
          <w:szCs w:val="32"/>
          <w:lang w:val="en-US" w:eastAsia="zh-CN" w:bidi="ar-SA"/>
        </w:rPr>
        <w:t>项目租赁位于</w:t>
      </w:r>
      <w:r>
        <w:rPr>
          <w:rFonts w:hint="eastAsia" w:ascii="仿宋" w:hAnsi="仿宋" w:eastAsia="仿宋" w:cs="仿宋"/>
          <w:color w:val="000000"/>
          <w:kern w:val="10"/>
          <w:sz w:val="32"/>
          <w:szCs w:val="32"/>
        </w:rPr>
        <w:t>安徽金寨经济开发区</w:t>
      </w:r>
      <w:r>
        <w:rPr>
          <w:rFonts w:hint="eastAsia" w:ascii="仿宋" w:hAnsi="仿宋" w:eastAsia="仿宋" w:cs="仿宋"/>
          <w:color w:val="000000"/>
          <w:kern w:val="10"/>
          <w:sz w:val="32"/>
          <w:szCs w:val="32"/>
          <w:lang w:eastAsia="zh-CN"/>
        </w:rPr>
        <w:t>（</w:t>
      </w:r>
      <w:r>
        <w:rPr>
          <w:rFonts w:hint="eastAsia" w:ascii="仿宋" w:hAnsi="仿宋" w:eastAsia="仿宋" w:cs="仿宋"/>
          <w:color w:val="000000"/>
          <w:kern w:val="10"/>
          <w:sz w:val="32"/>
          <w:szCs w:val="32"/>
          <w:lang w:val="en-US" w:eastAsia="zh-CN"/>
        </w:rPr>
        <w:t>现代产业园区</w:t>
      </w:r>
      <w:r>
        <w:rPr>
          <w:rFonts w:hint="eastAsia" w:ascii="仿宋" w:hAnsi="仿宋" w:eastAsia="仿宋" w:cs="仿宋"/>
          <w:color w:val="000000"/>
          <w:kern w:val="10"/>
          <w:sz w:val="32"/>
          <w:szCs w:val="32"/>
          <w:lang w:eastAsia="zh-CN"/>
        </w:rPr>
        <w:t>）金水路以北、笔架山路以南、嘉悦新能源以西</w:t>
      </w:r>
      <w:r>
        <w:rPr>
          <w:rFonts w:hint="eastAsia" w:ascii="仿宋" w:hAnsi="仿宋" w:eastAsia="仿宋" w:cs="仿宋"/>
          <w:color w:val="000000"/>
          <w:kern w:val="10"/>
          <w:sz w:val="32"/>
          <w:szCs w:val="32"/>
          <w:lang w:val="en-US" w:eastAsia="zh-CN"/>
        </w:rPr>
        <w:t>安徽中晟宏伟新材料有限公司循环经济产业园</w:t>
      </w:r>
      <w:r>
        <w:rPr>
          <w:rFonts w:hint="eastAsia" w:ascii="仿宋" w:hAnsi="仿宋" w:eastAsia="仿宋" w:cs="仿宋"/>
          <w:color w:val="000000"/>
          <w:kern w:val="10"/>
          <w:sz w:val="32"/>
          <w:szCs w:val="32"/>
          <w:lang w:val="en-US" w:eastAsia="zh-CN" w:bidi="ar-SA"/>
        </w:rPr>
        <w:t>现有A5闲置厂房，建筑面积约15000平方米。主体工程设置废硅橡胶加工生产区，</w:t>
      </w:r>
      <w:r>
        <w:rPr>
          <w:rFonts w:hint="eastAsia" w:ascii="仿宋" w:hAnsi="仿宋" w:eastAsia="仿宋" w:cs="仿宋"/>
          <w:color w:val="000000"/>
          <w:kern w:val="10"/>
          <w:sz w:val="32"/>
          <w:szCs w:val="32"/>
          <w:lang w:val="en-US" w:eastAsia="zh-CN"/>
        </w:rPr>
        <w:t>购置一体化破碎设备、中转罐及其他相关生产设备，</w:t>
      </w:r>
      <w:r>
        <w:rPr>
          <w:rFonts w:hint="eastAsia" w:ascii="仿宋" w:hAnsi="仿宋" w:eastAsia="仿宋" w:cs="仿宋"/>
          <w:color w:val="000000"/>
          <w:kern w:val="10"/>
          <w:sz w:val="32"/>
          <w:szCs w:val="32"/>
          <w:lang w:val="en-US" w:eastAsia="zh-CN" w:bidi="ar-SA"/>
        </w:rPr>
        <w:t>配套建设辅助、储运、公用以及环保工程。项目总投资约12000万元，其中环保投资不低于221万元，项目建成后可形成年产3万吨硅油和2万吨副产品钙粉的生产能力。</w:t>
      </w:r>
      <w:r>
        <w:rPr>
          <w:rFonts w:hint="eastAsia" w:ascii="仿宋" w:hAnsi="仿宋" w:eastAsia="仿宋" w:cs="仿宋"/>
          <w:color w:val="000000"/>
          <w:kern w:val="10"/>
          <w:sz w:val="32"/>
          <w:szCs w:val="32"/>
          <w:lang w:val="en-US" w:eastAsia="zh-CN"/>
        </w:rPr>
        <w:t xml:space="preserve">                                                                                                                                                                                                                                                                                                                                                                                                                                                                                                                                                                                                                                                                                                                                                                                                                                                                                                                                                                                                                                                                                                                                                                                                                                                                                                                                                                                                                                                                                                                                                                                                                                                                                                                                                                                                                                                                                                                                                                                                                                                                                                                                                                                                                                                                                                                                                                                                                                                                                                                                                                                                                                                                                                                                                                                                                                                                                                                                                                                                                                                                                                                                                                                                                                                                                                                                                                                                                                                                                                                                                                                                                                                                                                                                                                                                                                                                                                                                                                                                                                                                                                                                                                                                                </w:t>
      </w:r>
      <w:r>
        <w:rPr>
          <w:rFonts w:hint="eastAsia" w:ascii="仿宋" w:hAnsi="仿宋" w:eastAsia="仿宋" w:cs="仿宋"/>
          <w:color w:val="000000"/>
          <w:kern w:val="1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00"/>
        <w:jc w:val="both"/>
        <w:textAlignment w:val="auto"/>
        <w:rPr>
          <w:rFonts w:hint="eastAsia" w:ascii="仿宋" w:hAnsi="仿宋" w:eastAsia="仿宋" w:cs="仿宋"/>
          <w:kern w:val="10"/>
          <w:sz w:val="32"/>
          <w:szCs w:val="32"/>
          <w:lang w:val="en-US" w:eastAsia="zh-CN" w:bidi="ar-SA"/>
        </w:rPr>
      </w:pPr>
      <w:r>
        <w:rPr>
          <w:rFonts w:hint="eastAsia" w:ascii="仿宋" w:hAnsi="仿宋" w:eastAsia="仿宋" w:cs="仿宋"/>
          <w:kern w:val="10"/>
          <w:sz w:val="32"/>
          <w:szCs w:val="32"/>
          <w:lang w:val="en-US" w:eastAsia="zh-CN" w:bidi="ar-SA"/>
        </w:rPr>
        <w:t>我局同意该项目按照</w:t>
      </w:r>
      <w:r>
        <w:rPr>
          <w:rFonts w:hint="eastAsia" w:ascii="仿宋" w:hAnsi="仿宋" w:eastAsia="仿宋" w:cs="仿宋"/>
          <w:kern w:val="10"/>
          <w:sz w:val="32"/>
          <w:szCs w:val="32"/>
          <w:lang w:val="zh-CN" w:eastAsia="zh-CN" w:bidi="ar-SA"/>
        </w:rPr>
        <w:t>《报告表》</w:t>
      </w:r>
      <w:r>
        <w:rPr>
          <w:rFonts w:hint="eastAsia" w:ascii="仿宋" w:hAnsi="仿宋" w:eastAsia="仿宋" w:cs="仿宋"/>
          <w:kern w:val="10"/>
          <w:sz w:val="32"/>
          <w:szCs w:val="32"/>
          <w:lang w:val="en-US" w:eastAsia="zh-CN" w:bidi="ar-SA"/>
        </w:rPr>
        <w:t>所列内容在拟定地点建设，建设单位应全面落实</w:t>
      </w:r>
      <w:r>
        <w:rPr>
          <w:rFonts w:hint="eastAsia" w:ascii="仿宋" w:hAnsi="仿宋" w:eastAsia="仿宋" w:cs="仿宋"/>
          <w:kern w:val="10"/>
          <w:sz w:val="32"/>
          <w:szCs w:val="32"/>
          <w:lang w:val="zh-CN" w:eastAsia="zh-CN" w:bidi="ar-SA"/>
        </w:rPr>
        <w:t>《报告表》</w:t>
      </w:r>
      <w:r>
        <w:rPr>
          <w:rFonts w:hint="eastAsia" w:ascii="仿宋" w:hAnsi="仿宋" w:eastAsia="仿宋" w:cs="仿宋"/>
          <w:kern w:val="10"/>
          <w:sz w:val="32"/>
          <w:szCs w:val="32"/>
          <w:lang w:val="en-US" w:eastAsia="zh-CN" w:bidi="ar-SA"/>
        </w:rPr>
        <w:t>提出的各项环境保护措施。</w:t>
      </w:r>
    </w:p>
    <w:p>
      <w:pPr>
        <w:pStyle w:val="3"/>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color w:val="000000"/>
          <w:kern w:val="10"/>
          <w:sz w:val="32"/>
          <w:szCs w:val="32"/>
        </w:rPr>
      </w:pPr>
      <w:r>
        <w:rPr>
          <w:rFonts w:hint="eastAsia" w:ascii="仿宋" w:hAnsi="仿宋" w:eastAsia="仿宋" w:cs="仿宋"/>
          <w:color w:val="000000"/>
          <w:kern w:val="10"/>
          <w:sz w:val="32"/>
          <w:szCs w:val="32"/>
        </w:rPr>
        <w:t>二、项目</w:t>
      </w:r>
      <w:r>
        <w:rPr>
          <w:rFonts w:hint="eastAsia" w:ascii="仿宋" w:hAnsi="仿宋" w:eastAsia="仿宋" w:cs="仿宋"/>
          <w:color w:val="000000"/>
          <w:kern w:val="10"/>
          <w:sz w:val="32"/>
          <w:szCs w:val="32"/>
          <w:lang w:val="en-US" w:eastAsia="zh-CN"/>
        </w:rPr>
        <w:t>实施</w:t>
      </w:r>
      <w:r>
        <w:rPr>
          <w:rFonts w:hint="eastAsia" w:ascii="仿宋" w:hAnsi="仿宋" w:eastAsia="仿宋" w:cs="仿宋"/>
          <w:color w:val="000000"/>
          <w:kern w:val="10"/>
          <w:sz w:val="32"/>
          <w:szCs w:val="32"/>
        </w:rPr>
        <w:t>应重点做好以下工作：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napToGrid w:val="0"/>
          <w:color w:val="000000"/>
          <w:kern w:val="10"/>
          <w:sz w:val="32"/>
          <w:szCs w:val="32"/>
          <w:lang w:val="en-US"/>
        </w:rPr>
      </w:pPr>
      <w:r>
        <w:rPr>
          <w:rFonts w:hint="eastAsia" w:ascii="仿宋" w:hAnsi="仿宋" w:eastAsia="仿宋" w:cs="仿宋"/>
          <w:snapToGrid w:val="0"/>
          <w:color w:val="000000"/>
          <w:kern w:val="10"/>
          <w:sz w:val="32"/>
          <w:szCs w:val="32"/>
        </w:rPr>
        <w:t>1</w:t>
      </w:r>
      <w:r>
        <w:rPr>
          <w:rFonts w:hint="eastAsia" w:ascii="仿宋" w:hAnsi="仿宋" w:eastAsia="仿宋" w:cs="仿宋"/>
          <w:snapToGrid w:val="0"/>
          <w:color w:val="000000"/>
          <w:kern w:val="10"/>
          <w:sz w:val="32"/>
          <w:szCs w:val="32"/>
          <w:lang w:eastAsia="zh-CN"/>
        </w:rPr>
        <w:t>.</w:t>
      </w:r>
      <w:r>
        <w:rPr>
          <w:rFonts w:hint="eastAsia" w:ascii="仿宋" w:hAnsi="仿宋" w:eastAsia="仿宋" w:cs="仿宋"/>
          <w:snapToGrid w:val="0"/>
          <w:color w:val="000000"/>
          <w:kern w:val="10"/>
          <w:sz w:val="32"/>
          <w:szCs w:val="32"/>
        </w:rPr>
        <w:t>项目排水实行雨污分流。</w:t>
      </w:r>
      <w:r>
        <w:rPr>
          <w:rFonts w:hint="eastAsia" w:eastAsia="仿宋_GB2312"/>
          <w:color w:val="000000"/>
          <w:kern w:val="10"/>
          <w:sz w:val="32"/>
          <w:szCs w:val="32"/>
        </w:rPr>
        <w:t>生活污水</w:t>
      </w:r>
      <w:r>
        <w:rPr>
          <w:rFonts w:hint="eastAsia" w:eastAsia="仿宋_GB2312"/>
          <w:color w:val="000000"/>
          <w:kern w:val="10"/>
          <w:sz w:val="32"/>
          <w:szCs w:val="32"/>
          <w:lang w:val="en-US" w:eastAsia="zh-CN"/>
        </w:rPr>
        <w:t>依托园区</w:t>
      </w:r>
      <w:r>
        <w:rPr>
          <w:rFonts w:hint="eastAsia" w:eastAsia="仿宋_GB2312"/>
          <w:color w:val="000000"/>
          <w:kern w:val="10"/>
          <w:sz w:val="32"/>
          <w:szCs w:val="32"/>
        </w:rPr>
        <w:t>化粪池处理后通过市政污水管网排入</w:t>
      </w:r>
      <w:r>
        <w:rPr>
          <w:rFonts w:hint="eastAsia" w:eastAsia="仿宋_GB2312"/>
          <w:color w:val="000000"/>
          <w:kern w:val="10"/>
          <w:sz w:val="32"/>
          <w:szCs w:val="32"/>
          <w:lang w:val="en-US" w:eastAsia="zh-CN"/>
        </w:rPr>
        <w:t>现代产业园区</w:t>
      </w:r>
      <w:r>
        <w:rPr>
          <w:rFonts w:hint="eastAsia" w:eastAsia="仿宋_GB2312"/>
          <w:color w:val="000000"/>
          <w:kern w:val="10"/>
          <w:sz w:val="32"/>
          <w:szCs w:val="32"/>
        </w:rPr>
        <w:t>污水处理厂处理达标后外排。</w:t>
      </w:r>
      <w:r>
        <w:rPr>
          <w:rFonts w:hint="eastAsia" w:eastAsia="仿宋_GB2312"/>
          <w:color w:val="000000"/>
          <w:kern w:val="10"/>
          <w:sz w:val="32"/>
          <w:szCs w:val="32"/>
          <w:lang w:val="en-US" w:eastAsia="zh-CN"/>
        </w:rPr>
        <w:t>设备</w:t>
      </w:r>
      <w:r>
        <w:rPr>
          <w:rFonts w:hint="eastAsia" w:ascii="仿宋" w:hAnsi="仿宋" w:eastAsia="仿宋" w:cs="仿宋"/>
          <w:snapToGrid w:val="0"/>
          <w:color w:val="000000"/>
          <w:kern w:val="10"/>
          <w:sz w:val="32"/>
          <w:szCs w:val="32"/>
          <w:lang w:val="en-US" w:eastAsia="zh-CN"/>
        </w:rPr>
        <w:t>冷却水循环使用定期补充，不外排。真空泵定期排放废水和喷淋装置定期排放废水经“油水分离+中和+沉淀+过滤”措施处理后回用于裂解釜冲罐，由灰渣带走，不外排。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napToGrid w:val="0"/>
          <w:color w:val="000000"/>
          <w:kern w:val="10"/>
          <w:sz w:val="32"/>
          <w:szCs w:val="32"/>
        </w:rPr>
      </w:pPr>
      <w:r>
        <w:rPr>
          <w:rFonts w:hint="eastAsia" w:ascii="仿宋" w:hAnsi="仿宋" w:eastAsia="仿宋" w:cs="仿宋"/>
          <w:snapToGrid w:val="0"/>
          <w:color w:val="000000"/>
          <w:kern w:val="10"/>
          <w:sz w:val="32"/>
          <w:szCs w:val="32"/>
        </w:rPr>
        <w:t>2</w:t>
      </w:r>
      <w:r>
        <w:rPr>
          <w:rFonts w:hint="eastAsia" w:ascii="仿宋" w:hAnsi="仿宋" w:eastAsia="仿宋" w:cs="仿宋"/>
          <w:snapToGrid w:val="0"/>
          <w:color w:val="000000"/>
          <w:kern w:val="10"/>
          <w:sz w:val="32"/>
          <w:szCs w:val="32"/>
          <w:lang w:eastAsia="zh-CN"/>
        </w:rPr>
        <w:t>.</w:t>
      </w:r>
      <w:r>
        <w:rPr>
          <w:rFonts w:hint="eastAsia" w:ascii="仿宋" w:hAnsi="仿宋" w:eastAsia="仿宋" w:cs="仿宋"/>
          <w:snapToGrid w:val="0"/>
          <w:color w:val="000000"/>
          <w:kern w:val="10"/>
          <w:sz w:val="32"/>
          <w:szCs w:val="32"/>
          <w:lang w:val="en-US" w:eastAsia="zh-CN"/>
        </w:rPr>
        <w:t>加强生产车间封闭和废气收集。高温分解工序未冷凝酸性气体、非甲烷总烃经密闭集气管道收集后由“碱液喷淋+过滤棉+二级活性炭吸附装置”处理后</w:t>
      </w:r>
      <w:r>
        <w:rPr>
          <w:rFonts w:hint="eastAsia" w:ascii="仿宋" w:hAnsi="仿宋" w:eastAsia="仿宋" w:cs="仿宋"/>
          <w:snapToGrid w:val="0"/>
          <w:color w:val="000000"/>
          <w:kern w:val="10"/>
          <w:sz w:val="32"/>
          <w:szCs w:val="32"/>
          <w:lang w:val="zh-CN" w:eastAsia="zh-CN"/>
        </w:rPr>
        <w:t>须通过</w:t>
      </w:r>
      <w:r>
        <w:rPr>
          <w:rFonts w:hint="eastAsia" w:ascii="仿宋" w:hAnsi="仿宋" w:eastAsia="仿宋" w:cs="仿宋"/>
          <w:snapToGrid w:val="0"/>
          <w:color w:val="000000"/>
          <w:kern w:val="10"/>
          <w:sz w:val="32"/>
          <w:szCs w:val="32"/>
          <w:lang w:val="en-US" w:eastAsia="zh-CN"/>
        </w:rPr>
        <w:t>1</w:t>
      </w:r>
      <w:r>
        <w:rPr>
          <w:rFonts w:hint="eastAsia" w:ascii="仿宋" w:hAnsi="仿宋" w:eastAsia="仿宋" w:cs="仿宋"/>
          <w:snapToGrid w:val="0"/>
          <w:color w:val="000000"/>
          <w:kern w:val="10"/>
          <w:sz w:val="32"/>
          <w:szCs w:val="32"/>
          <w:lang w:val="zh-CN" w:eastAsia="zh-CN"/>
        </w:rPr>
        <w:t>根不低于</w:t>
      </w:r>
      <w:r>
        <w:rPr>
          <w:rFonts w:hint="eastAsia" w:ascii="仿宋" w:hAnsi="仿宋" w:eastAsia="仿宋" w:cs="仿宋"/>
          <w:snapToGrid w:val="0"/>
          <w:color w:val="000000"/>
          <w:kern w:val="10"/>
          <w:sz w:val="32"/>
          <w:szCs w:val="32"/>
          <w:lang w:val="en-US" w:eastAsia="zh-CN"/>
        </w:rPr>
        <w:t>1</w:t>
      </w:r>
      <w:r>
        <w:rPr>
          <w:rFonts w:hint="eastAsia" w:ascii="仿宋" w:hAnsi="仿宋" w:eastAsia="仿宋" w:cs="仿宋"/>
          <w:snapToGrid w:val="0"/>
          <w:color w:val="000000"/>
          <w:kern w:val="10"/>
          <w:sz w:val="32"/>
          <w:szCs w:val="32"/>
          <w:lang w:val="zh-CN" w:eastAsia="zh-CN"/>
        </w:rPr>
        <w:t>5m高排气筒（DA00</w:t>
      </w:r>
      <w:r>
        <w:rPr>
          <w:rFonts w:hint="eastAsia" w:ascii="仿宋" w:hAnsi="仿宋" w:eastAsia="仿宋" w:cs="仿宋"/>
          <w:snapToGrid w:val="0"/>
          <w:color w:val="000000"/>
          <w:kern w:val="10"/>
          <w:sz w:val="32"/>
          <w:szCs w:val="32"/>
          <w:lang w:val="en-US" w:eastAsia="zh-CN"/>
        </w:rPr>
        <w:t>1</w:t>
      </w:r>
      <w:r>
        <w:rPr>
          <w:rFonts w:hint="eastAsia" w:ascii="仿宋" w:hAnsi="仿宋" w:eastAsia="仿宋" w:cs="仿宋"/>
          <w:snapToGrid w:val="0"/>
          <w:color w:val="000000"/>
          <w:kern w:val="10"/>
          <w:sz w:val="32"/>
          <w:szCs w:val="32"/>
          <w:lang w:val="zh-CN" w:eastAsia="zh-CN"/>
        </w:rPr>
        <w:t>）达标排放；</w:t>
      </w:r>
      <w:r>
        <w:rPr>
          <w:rFonts w:hint="eastAsia" w:ascii="仿宋" w:hAnsi="仿宋" w:eastAsia="仿宋" w:cs="仿宋"/>
          <w:snapToGrid w:val="0"/>
          <w:color w:val="000000"/>
          <w:kern w:val="10"/>
          <w:sz w:val="32"/>
          <w:szCs w:val="32"/>
          <w:lang w:val="en-US" w:eastAsia="zh-CN"/>
        </w:rPr>
        <w:t>重排、合成、压滤工序未冷凝非甲烷总烃经密闭集气管道负压收集后由二级活性炭吸附装置处理后</w:t>
      </w:r>
      <w:r>
        <w:rPr>
          <w:rFonts w:hint="eastAsia" w:ascii="仿宋" w:hAnsi="仿宋" w:eastAsia="仿宋" w:cs="仿宋"/>
          <w:snapToGrid w:val="0"/>
          <w:color w:val="000000"/>
          <w:kern w:val="10"/>
          <w:sz w:val="32"/>
          <w:szCs w:val="32"/>
          <w:lang w:val="zh-CN" w:eastAsia="zh-CN"/>
        </w:rPr>
        <w:t>须通过</w:t>
      </w:r>
      <w:r>
        <w:rPr>
          <w:rFonts w:hint="eastAsia" w:ascii="仿宋" w:hAnsi="仿宋" w:eastAsia="仿宋" w:cs="仿宋"/>
          <w:snapToGrid w:val="0"/>
          <w:color w:val="000000"/>
          <w:kern w:val="10"/>
          <w:sz w:val="32"/>
          <w:szCs w:val="32"/>
          <w:lang w:val="en-US" w:eastAsia="zh-CN"/>
        </w:rPr>
        <w:t>1</w:t>
      </w:r>
      <w:r>
        <w:rPr>
          <w:rFonts w:hint="eastAsia" w:ascii="仿宋" w:hAnsi="仿宋" w:eastAsia="仿宋" w:cs="仿宋"/>
          <w:snapToGrid w:val="0"/>
          <w:color w:val="000000"/>
          <w:kern w:val="10"/>
          <w:sz w:val="32"/>
          <w:szCs w:val="32"/>
          <w:lang w:val="zh-CN" w:eastAsia="zh-CN"/>
        </w:rPr>
        <w:t>根不低于</w:t>
      </w:r>
      <w:r>
        <w:rPr>
          <w:rFonts w:hint="eastAsia" w:ascii="仿宋" w:hAnsi="仿宋" w:eastAsia="仿宋" w:cs="仿宋"/>
          <w:snapToGrid w:val="0"/>
          <w:color w:val="000000"/>
          <w:kern w:val="10"/>
          <w:sz w:val="32"/>
          <w:szCs w:val="32"/>
          <w:lang w:val="en-US" w:eastAsia="zh-CN"/>
        </w:rPr>
        <w:t>1</w:t>
      </w:r>
      <w:r>
        <w:rPr>
          <w:rFonts w:hint="eastAsia" w:ascii="仿宋" w:hAnsi="仿宋" w:eastAsia="仿宋" w:cs="仿宋"/>
          <w:snapToGrid w:val="0"/>
          <w:color w:val="000000"/>
          <w:kern w:val="10"/>
          <w:sz w:val="32"/>
          <w:szCs w:val="32"/>
          <w:lang w:val="zh-CN" w:eastAsia="zh-CN"/>
        </w:rPr>
        <w:t>5m高排气筒（DA00</w:t>
      </w:r>
      <w:r>
        <w:rPr>
          <w:rFonts w:hint="eastAsia" w:ascii="仿宋" w:hAnsi="仿宋" w:eastAsia="仿宋" w:cs="仿宋"/>
          <w:snapToGrid w:val="0"/>
          <w:color w:val="000000"/>
          <w:kern w:val="10"/>
          <w:sz w:val="32"/>
          <w:szCs w:val="32"/>
          <w:lang w:val="en-US" w:eastAsia="zh-CN"/>
        </w:rPr>
        <w:t>2</w:t>
      </w:r>
      <w:r>
        <w:rPr>
          <w:rFonts w:hint="eastAsia" w:ascii="仿宋" w:hAnsi="仿宋" w:eastAsia="仿宋" w:cs="仿宋"/>
          <w:snapToGrid w:val="0"/>
          <w:color w:val="000000"/>
          <w:kern w:val="10"/>
          <w:sz w:val="32"/>
          <w:szCs w:val="32"/>
          <w:lang w:val="zh-CN" w:eastAsia="zh-CN"/>
        </w:rPr>
        <w:t>）达标排放。</w:t>
      </w:r>
      <w:r>
        <w:rPr>
          <w:rFonts w:hint="eastAsia" w:ascii="仿宋" w:hAnsi="仿宋" w:eastAsia="仿宋" w:cs="仿宋"/>
          <w:snapToGrid w:val="0"/>
          <w:color w:val="000000"/>
          <w:kern w:val="10"/>
          <w:sz w:val="32"/>
          <w:szCs w:val="32"/>
          <w:lang w:val="en-US" w:eastAsia="zh-CN"/>
        </w:rPr>
        <w:t>厂区应加强生产管理、设备检修等，确保厂界无组织排放大气污染物达标。活性炭应按使用周期要求及时更换。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napToGrid w:val="0"/>
          <w:color w:val="000000"/>
          <w:kern w:val="10"/>
          <w:sz w:val="32"/>
          <w:szCs w:val="32"/>
        </w:rPr>
      </w:pPr>
      <w:r>
        <w:rPr>
          <w:rFonts w:hint="eastAsia" w:ascii="仿宋" w:hAnsi="仿宋" w:eastAsia="仿宋" w:cs="仿宋"/>
          <w:snapToGrid w:val="0"/>
          <w:color w:val="000000"/>
          <w:kern w:val="10"/>
          <w:sz w:val="32"/>
          <w:szCs w:val="32"/>
        </w:rPr>
        <w:t>3</w:t>
      </w:r>
      <w:r>
        <w:rPr>
          <w:rFonts w:hint="eastAsia" w:ascii="仿宋" w:hAnsi="仿宋" w:eastAsia="仿宋" w:cs="仿宋"/>
          <w:snapToGrid w:val="0"/>
          <w:color w:val="000000"/>
          <w:kern w:val="10"/>
          <w:sz w:val="32"/>
          <w:szCs w:val="32"/>
          <w:lang w:eastAsia="zh-CN"/>
        </w:rPr>
        <w:t>.</w:t>
      </w:r>
      <w:r>
        <w:rPr>
          <w:rFonts w:hint="eastAsia" w:ascii="仿宋" w:hAnsi="仿宋" w:eastAsia="仿宋" w:cs="仿宋"/>
          <w:snapToGrid w:val="0"/>
          <w:color w:val="000000"/>
          <w:kern w:val="10"/>
          <w:sz w:val="32"/>
          <w:szCs w:val="32"/>
        </w:rPr>
        <w:t>通过合理布局、选用低噪声设备、安装减振基座和建筑隔声等措施减小噪声污染，确保厂区边界噪声达标。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napToGrid w:val="0"/>
          <w:color w:val="000000"/>
          <w:kern w:val="10"/>
          <w:sz w:val="32"/>
          <w:szCs w:val="32"/>
        </w:rPr>
      </w:pPr>
      <w:r>
        <w:rPr>
          <w:rFonts w:hint="eastAsia" w:ascii="仿宋" w:hAnsi="仿宋" w:eastAsia="仿宋" w:cs="仿宋"/>
          <w:snapToGrid w:val="0"/>
          <w:color w:val="000000"/>
          <w:kern w:val="10"/>
          <w:sz w:val="32"/>
          <w:szCs w:val="32"/>
        </w:rPr>
        <w:t>4</w:t>
      </w:r>
      <w:r>
        <w:rPr>
          <w:rFonts w:hint="eastAsia" w:ascii="仿宋" w:hAnsi="仿宋" w:eastAsia="仿宋" w:cs="仿宋"/>
          <w:snapToGrid w:val="0"/>
          <w:color w:val="000000"/>
          <w:kern w:val="10"/>
          <w:sz w:val="32"/>
          <w:szCs w:val="32"/>
          <w:lang w:eastAsia="zh-CN"/>
        </w:rPr>
        <w:t>.</w:t>
      </w:r>
      <w:r>
        <w:rPr>
          <w:rFonts w:hint="eastAsia" w:ascii="仿宋" w:hAnsi="仿宋" w:eastAsia="仿宋" w:cs="仿宋"/>
          <w:snapToGrid w:val="0"/>
          <w:color w:val="000000"/>
          <w:kern w:val="10"/>
          <w:sz w:val="32"/>
          <w:szCs w:val="32"/>
        </w:rPr>
        <w:t>一般工业固废综合利用。生活垃圾交由环卫部门统一处置。</w:t>
      </w:r>
      <w:r>
        <w:rPr>
          <w:rFonts w:hint="eastAsia" w:ascii="仿宋" w:hAnsi="仿宋" w:eastAsia="仿宋" w:cs="仿宋"/>
          <w:snapToGrid w:val="0"/>
          <w:color w:val="000000"/>
          <w:kern w:val="10"/>
          <w:sz w:val="32"/>
          <w:szCs w:val="32"/>
          <w:lang w:val="en-US" w:eastAsia="zh-CN"/>
        </w:rPr>
        <w:t>废活性炭、废导热油、重排釜渣</w:t>
      </w:r>
      <w:r>
        <w:rPr>
          <w:rFonts w:hint="eastAsia" w:ascii="仿宋" w:hAnsi="仿宋" w:eastAsia="仿宋" w:cs="仿宋"/>
          <w:snapToGrid w:val="0"/>
          <w:color w:val="000000"/>
          <w:kern w:val="10"/>
          <w:sz w:val="32"/>
          <w:szCs w:val="32"/>
        </w:rPr>
        <w:t>等危险废物应规范暂存，危废库需专人管理，建立台账，定期委托有资质的单位合法处置，</w:t>
      </w:r>
      <w:r>
        <w:rPr>
          <w:rFonts w:hint="eastAsia" w:ascii="仿宋" w:hAnsi="仿宋" w:eastAsia="仿宋" w:cs="仿宋"/>
          <w:snapToGrid w:val="0"/>
          <w:color w:val="000000"/>
          <w:kern w:val="10"/>
          <w:sz w:val="32"/>
          <w:szCs w:val="32"/>
          <w:lang w:val="zh-CN"/>
        </w:rPr>
        <w:t>危废管理、处置情况及时向县生态环境分局备案。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napToGrid w:val="0"/>
          <w:color w:val="000000"/>
          <w:kern w:val="10"/>
          <w:sz w:val="32"/>
          <w:szCs w:val="32"/>
          <w:lang w:val="en-US" w:eastAsia="zh-CN"/>
        </w:rPr>
      </w:pPr>
      <w:r>
        <w:rPr>
          <w:rFonts w:hint="eastAsia" w:ascii="仿宋" w:hAnsi="仿宋" w:eastAsia="仿宋" w:cs="仿宋"/>
          <w:snapToGrid w:val="0"/>
          <w:color w:val="000000"/>
          <w:kern w:val="10"/>
          <w:sz w:val="32"/>
          <w:szCs w:val="32"/>
          <w:lang w:val="en-US" w:eastAsia="zh-CN"/>
        </w:rPr>
        <w:t>5.</w:t>
      </w:r>
      <w:r>
        <w:rPr>
          <w:rFonts w:hint="eastAsia" w:ascii="仿宋" w:hAnsi="仿宋" w:eastAsia="仿宋" w:cs="仿宋"/>
          <w:snapToGrid w:val="0"/>
          <w:color w:val="000000"/>
          <w:kern w:val="10"/>
          <w:sz w:val="32"/>
          <w:szCs w:val="32"/>
          <w:lang w:val="zh-CN"/>
        </w:rPr>
        <w:t>强化原辅材料、产品的管理和分区存放，做好分区防腐防渗工作，</w:t>
      </w:r>
      <w:r>
        <w:rPr>
          <w:rFonts w:hint="eastAsia" w:ascii="仿宋" w:hAnsi="仿宋" w:eastAsia="仿宋" w:cs="仿宋"/>
          <w:snapToGrid w:val="0"/>
          <w:color w:val="000000"/>
          <w:kern w:val="10"/>
          <w:sz w:val="32"/>
          <w:szCs w:val="32"/>
        </w:rPr>
        <w:t>防止项目污染地下水和土壤。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napToGrid w:val="0"/>
          <w:color w:val="000000"/>
          <w:kern w:val="10"/>
          <w:sz w:val="32"/>
          <w:szCs w:val="32"/>
        </w:rPr>
      </w:pPr>
      <w:r>
        <w:rPr>
          <w:rFonts w:hint="eastAsia" w:ascii="仿宋" w:hAnsi="仿宋" w:eastAsia="仿宋" w:cs="仿宋"/>
          <w:snapToGrid w:val="0"/>
          <w:color w:val="000000"/>
          <w:kern w:val="10"/>
          <w:sz w:val="32"/>
          <w:szCs w:val="32"/>
          <w:lang w:val="en-US" w:eastAsia="zh-CN"/>
        </w:rPr>
        <w:t>6.</w:t>
      </w:r>
      <w:r>
        <w:rPr>
          <w:rFonts w:hint="eastAsia" w:ascii="仿宋" w:hAnsi="仿宋" w:eastAsia="仿宋" w:cs="仿宋"/>
          <w:snapToGrid w:val="0"/>
          <w:color w:val="000000"/>
          <w:kern w:val="10"/>
          <w:sz w:val="32"/>
          <w:szCs w:val="32"/>
        </w:rPr>
        <w:t>加强</w:t>
      </w:r>
      <w:r>
        <w:rPr>
          <w:rFonts w:hint="eastAsia" w:ascii="仿宋" w:hAnsi="仿宋" w:eastAsia="仿宋" w:cs="仿宋"/>
          <w:snapToGrid w:val="0"/>
          <w:color w:val="000000"/>
          <w:kern w:val="10"/>
          <w:sz w:val="32"/>
          <w:szCs w:val="32"/>
          <w:lang w:val="en-US" w:eastAsia="zh-CN"/>
        </w:rPr>
        <w:t>环境</w:t>
      </w:r>
      <w:r>
        <w:rPr>
          <w:rFonts w:hint="eastAsia" w:ascii="仿宋" w:hAnsi="仿宋" w:eastAsia="仿宋" w:cs="仿宋"/>
          <w:snapToGrid w:val="0"/>
          <w:color w:val="000000"/>
          <w:kern w:val="10"/>
          <w:sz w:val="32"/>
          <w:szCs w:val="32"/>
        </w:rPr>
        <w:t>风险防控</w:t>
      </w:r>
      <w:r>
        <w:rPr>
          <w:rFonts w:hint="eastAsia" w:ascii="仿宋" w:hAnsi="仿宋" w:eastAsia="仿宋" w:cs="仿宋"/>
          <w:snapToGrid w:val="0"/>
          <w:color w:val="000000"/>
          <w:kern w:val="10"/>
          <w:sz w:val="32"/>
          <w:szCs w:val="32"/>
          <w:lang w:eastAsia="zh-CN"/>
        </w:rPr>
        <w:t>，编制应急预案并定期演练，</w:t>
      </w:r>
      <w:r>
        <w:rPr>
          <w:rFonts w:hint="eastAsia" w:ascii="仿宋" w:hAnsi="仿宋" w:eastAsia="仿宋" w:cs="仿宋"/>
          <w:snapToGrid w:val="0"/>
          <w:color w:val="000000"/>
          <w:kern w:val="10"/>
          <w:sz w:val="32"/>
          <w:szCs w:val="32"/>
        </w:rPr>
        <w:t>避免风险事故对周边环境造成不利影响。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napToGrid w:val="0"/>
          <w:color w:val="000000"/>
          <w:kern w:val="10"/>
          <w:sz w:val="32"/>
          <w:szCs w:val="32"/>
        </w:rPr>
      </w:pPr>
      <w:r>
        <w:rPr>
          <w:rFonts w:hint="eastAsia" w:ascii="仿宋" w:hAnsi="仿宋" w:eastAsia="仿宋" w:cs="仿宋"/>
          <w:snapToGrid w:val="0"/>
          <w:color w:val="000000"/>
          <w:kern w:val="10"/>
          <w:sz w:val="32"/>
          <w:szCs w:val="32"/>
        </w:rPr>
        <w:t>7</w:t>
      </w:r>
      <w:r>
        <w:rPr>
          <w:rFonts w:hint="eastAsia" w:ascii="仿宋" w:hAnsi="仿宋" w:eastAsia="仿宋" w:cs="仿宋"/>
          <w:snapToGrid w:val="0"/>
          <w:color w:val="000000"/>
          <w:kern w:val="10"/>
          <w:sz w:val="32"/>
          <w:szCs w:val="32"/>
          <w:lang w:eastAsia="zh-CN"/>
        </w:rPr>
        <w:t>.</w:t>
      </w:r>
      <w:r>
        <w:rPr>
          <w:rFonts w:hint="eastAsia" w:ascii="仿宋" w:hAnsi="仿宋" w:eastAsia="仿宋" w:cs="仿宋"/>
          <w:snapToGrid w:val="0"/>
          <w:color w:val="000000"/>
          <w:kern w:val="10"/>
          <w:sz w:val="32"/>
          <w:szCs w:val="32"/>
        </w:rPr>
        <w:t>按环保要求规范设置污染物排放口及标志牌。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napToGrid w:val="0"/>
          <w:color w:val="000000"/>
          <w:kern w:val="10"/>
          <w:sz w:val="32"/>
          <w:szCs w:val="32"/>
        </w:rPr>
      </w:pPr>
      <w:r>
        <w:rPr>
          <w:rFonts w:hint="eastAsia" w:ascii="仿宋" w:hAnsi="仿宋" w:eastAsia="仿宋" w:cs="仿宋"/>
          <w:snapToGrid w:val="0"/>
          <w:color w:val="000000"/>
          <w:kern w:val="10"/>
          <w:sz w:val="32"/>
          <w:szCs w:val="32"/>
        </w:rPr>
        <w:t>三、项目建设要按照环保“三同时”管理要求，充分落实环保措施，项目建成运营前应按规定程序申领排污许可证，运营后及时自行组织完成竣工环境保护验收，并将相关信息对社会公开。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napToGrid w:val="0"/>
          <w:color w:val="000000"/>
          <w:kern w:val="10"/>
          <w:sz w:val="32"/>
          <w:szCs w:val="32"/>
        </w:rPr>
        <w:t>四、</w:t>
      </w:r>
      <w:r>
        <w:rPr>
          <w:rFonts w:hint="eastAsia" w:ascii="仿宋" w:hAnsi="仿宋" w:eastAsia="仿宋" w:cs="仿宋"/>
          <w:color w:val="000000"/>
          <w:kern w:val="10"/>
          <w:sz w:val="32"/>
          <w:szCs w:val="32"/>
        </w:rPr>
        <w:t>请县生态环境保护综合行政执法大队、经济开发区生态环境工作站对</w:t>
      </w:r>
      <w:r>
        <w:rPr>
          <w:rFonts w:hint="eastAsia" w:ascii="仿宋" w:hAnsi="仿宋" w:eastAsia="仿宋" w:cs="仿宋"/>
          <w:color w:val="000000"/>
          <w:kern w:val="10"/>
          <w:sz w:val="32"/>
          <w:szCs w:val="32"/>
          <w:lang w:eastAsia="zh-CN"/>
        </w:rPr>
        <w:t>安徽意圆鑫新型材料科技有限公司</w:t>
      </w:r>
      <w:r>
        <w:rPr>
          <w:rFonts w:hint="eastAsia" w:ascii="仿宋" w:hAnsi="仿宋" w:eastAsia="仿宋" w:cs="仿宋"/>
          <w:color w:val="000000"/>
          <w:kern w:val="10"/>
          <w:sz w:val="32"/>
          <w:szCs w:val="32"/>
          <w:lang w:val="zh-CN" w:eastAsia="zh-CN"/>
        </w:rPr>
        <w:t>年处理5万吨废硅橡胶项目</w:t>
      </w:r>
      <w:r>
        <w:rPr>
          <w:rFonts w:hint="eastAsia" w:ascii="仿宋" w:hAnsi="仿宋" w:eastAsia="仿宋" w:cs="仿宋"/>
          <w:color w:val="000000"/>
          <w:kern w:val="10"/>
          <w:sz w:val="32"/>
          <w:szCs w:val="32"/>
        </w:rPr>
        <w:t xml:space="preserve">加强现场监管。            </w:t>
      </w:r>
    </w:p>
    <w:p>
      <w:pPr>
        <w:pStyle w:val="16"/>
        <w:keepNext w:val="0"/>
        <w:keepLines w:val="0"/>
        <w:pageBreakBefore w:val="0"/>
        <w:widowControl w:val="0"/>
        <w:kinsoku/>
        <w:wordWrap/>
        <w:overflowPunct/>
        <w:topLinePunct w:val="0"/>
        <w:bidi w:val="0"/>
        <w:snapToGrid/>
        <w:spacing w:line="600" w:lineRule="exact"/>
        <w:textAlignment w:val="auto"/>
        <w:rPr>
          <w:rFonts w:hint="eastAsia" w:ascii="仿宋" w:hAnsi="仿宋" w:eastAsia="仿宋" w:cs="仿宋"/>
          <w:sz w:val="32"/>
          <w:szCs w:val="32"/>
        </w:rPr>
      </w:pPr>
    </w:p>
    <w:p>
      <w:pPr>
        <w:pStyle w:val="16"/>
        <w:keepNext w:val="0"/>
        <w:keepLines w:val="0"/>
        <w:pageBreakBefore w:val="0"/>
        <w:widowControl w:val="0"/>
        <w:kinsoku/>
        <w:wordWrap/>
        <w:overflowPunct/>
        <w:topLinePunct w:val="0"/>
        <w:bidi w:val="0"/>
        <w:snapToGrid/>
        <w:spacing w:line="600" w:lineRule="exact"/>
        <w:textAlignment w:val="auto"/>
        <w:rPr>
          <w:rFonts w:hint="eastAsia" w:ascii="仿宋" w:hAnsi="仿宋" w:eastAsia="仿宋" w:cs="仿宋"/>
          <w:sz w:val="32"/>
          <w:szCs w:val="32"/>
        </w:rPr>
      </w:pPr>
    </w:p>
    <w:p>
      <w:pPr>
        <w:pStyle w:val="16"/>
        <w:keepNext w:val="0"/>
        <w:keepLines w:val="0"/>
        <w:pageBreakBefore w:val="0"/>
        <w:widowControl w:val="0"/>
        <w:kinsoku/>
        <w:wordWrap/>
        <w:overflowPunct/>
        <w:topLinePunct w:val="0"/>
        <w:bidi w:val="0"/>
        <w:snapToGrid/>
        <w:spacing w:line="600" w:lineRule="exact"/>
        <w:textAlignment w:val="auto"/>
        <w:rPr>
          <w:rFonts w:hint="eastAsia" w:ascii="仿宋" w:hAnsi="仿宋" w:eastAsia="仿宋" w:cs="仿宋"/>
          <w:sz w:val="32"/>
          <w:szCs w:val="32"/>
        </w:rPr>
      </w:pPr>
    </w:p>
    <w:p>
      <w:pPr>
        <w:keepNext w:val="0"/>
        <w:keepLines w:val="0"/>
        <w:pageBreakBefore w:val="0"/>
        <w:widowControl w:val="0"/>
        <w:tabs>
          <w:tab w:val="left" w:pos="7770"/>
        </w:tabs>
        <w:kinsoku/>
        <w:wordWrap/>
        <w:overflowPunct/>
        <w:topLinePunct w:val="0"/>
        <w:autoSpaceDE/>
        <w:autoSpaceDN/>
        <w:bidi w:val="0"/>
        <w:adjustRightInd/>
        <w:snapToGrid/>
        <w:spacing w:line="600" w:lineRule="exact"/>
        <w:ind w:firstLine="4480" w:firstLineChars="1400"/>
        <w:textAlignment w:val="auto"/>
        <w:rPr>
          <w:rFonts w:hint="eastAsia" w:ascii="仿宋" w:hAnsi="仿宋" w:eastAsia="仿宋" w:cs="仿宋"/>
          <w:color w:val="000000"/>
          <w:kern w:val="10"/>
          <w:sz w:val="32"/>
          <w:szCs w:val="32"/>
        </w:rPr>
      </w:pPr>
      <w:r>
        <w:rPr>
          <w:rFonts w:hint="eastAsia" w:ascii="仿宋" w:hAnsi="仿宋" w:eastAsia="仿宋" w:cs="仿宋"/>
          <w:color w:val="000000"/>
          <w:kern w:val="10"/>
          <w:sz w:val="32"/>
          <w:szCs w:val="32"/>
        </w:rPr>
        <w:t>六安市金寨县生态环境分局</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kern w:val="10"/>
          <w:sz w:val="32"/>
          <w:szCs w:val="32"/>
        </w:rPr>
      </w:pPr>
      <w:r>
        <w:rPr>
          <w:rFonts w:hint="eastAsia" w:ascii="仿宋" w:hAnsi="仿宋" w:eastAsia="仿宋" w:cs="仿宋"/>
          <w:kern w:val="10"/>
          <w:sz w:val="32"/>
          <w:szCs w:val="32"/>
        </w:rPr>
        <w:t xml:space="preserve">                    </w:t>
      </w:r>
      <w:r>
        <w:rPr>
          <w:rFonts w:hint="eastAsia" w:ascii="仿宋" w:hAnsi="仿宋" w:eastAsia="仿宋" w:cs="仿宋"/>
          <w:kern w:val="10"/>
          <w:sz w:val="32"/>
          <w:szCs w:val="32"/>
          <w:lang w:val="en-US" w:eastAsia="zh-CN"/>
        </w:rPr>
        <w:t xml:space="preserve">            </w:t>
      </w:r>
      <w:r>
        <w:rPr>
          <w:rFonts w:hint="eastAsia" w:ascii="仿宋" w:hAnsi="仿宋" w:eastAsia="仿宋" w:cs="仿宋"/>
          <w:kern w:val="10"/>
          <w:sz w:val="32"/>
          <w:szCs w:val="32"/>
        </w:rPr>
        <w:t xml:space="preserve"> </w:t>
      </w:r>
      <w:r>
        <w:rPr>
          <w:rFonts w:hint="eastAsia" w:ascii="仿宋" w:hAnsi="仿宋" w:eastAsia="仿宋" w:cs="仿宋"/>
          <w:spacing w:val="-8"/>
          <w:kern w:val="10"/>
          <w:sz w:val="32"/>
          <w:szCs w:val="32"/>
        </w:rPr>
        <w:t>202</w:t>
      </w:r>
      <w:r>
        <w:rPr>
          <w:rFonts w:hint="eastAsia" w:ascii="仿宋" w:hAnsi="仿宋" w:eastAsia="仿宋" w:cs="仿宋"/>
          <w:spacing w:val="-8"/>
          <w:kern w:val="10"/>
          <w:sz w:val="32"/>
          <w:szCs w:val="32"/>
          <w:lang w:val="en-US" w:eastAsia="zh-CN"/>
        </w:rPr>
        <w:t>4</w:t>
      </w:r>
      <w:r>
        <w:rPr>
          <w:rFonts w:hint="eastAsia" w:ascii="仿宋" w:hAnsi="仿宋" w:eastAsia="仿宋" w:cs="仿宋"/>
          <w:spacing w:val="-8"/>
          <w:kern w:val="10"/>
          <w:sz w:val="32"/>
          <w:szCs w:val="32"/>
        </w:rPr>
        <w:t>年</w:t>
      </w:r>
      <w:r>
        <w:rPr>
          <w:rFonts w:hint="eastAsia" w:ascii="仿宋" w:hAnsi="仿宋" w:eastAsia="仿宋" w:cs="仿宋"/>
          <w:kern w:val="10"/>
          <w:sz w:val="32"/>
          <w:szCs w:val="32"/>
          <w:lang w:val="en-US" w:eastAsia="zh-CN"/>
        </w:rPr>
        <w:t>4</w:t>
      </w:r>
      <w:r>
        <w:rPr>
          <w:rFonts w:hint="eastAsia" w:ascii="仿宋" w:hAnsi="仿宋" w:eastAsia="仿宋" w:cs="仿宋"/>
          <w:kern w:val="10"/>
          <w:sz w:val="32"/>
          <w:szCs w:val="32"/>
        </w:rPr>
        <w:t>月</w:t>
      </w:r>
      <w:r>
        <w:rPr>
          <w:rFonts w:hint="eastAsia" w:ascii="仿宋" w:hAnsi="仿宋" w:eastAsia="仿宋" w:cs="仿宋"/>
          <w:kern w:val="10"/>
          <w:sz w:val="32"/>
          <w:szCs w:val="32"/>
          <w:lang w:val="en-US" w:eastAsia="zh-CN"/>
        </w:rPr>
        <w:t>15</w:t>
      </w:r>
      <w:r>
        <w:rPr>
          <w:rFonts w:hint="eastAsia" w:ascii="仿宋" w:hAnsi="仿宋" w:eastAsia="仿宋" w:cs="仿宋"/>
          <w:kern w:val="10"/>
          <w:sz w:val="32"/>
          <w:szCs w:val="32"/>
        </w:rPr>
        <w:t>日</w:t>
      </w:r>
    </w:p>
    <w:p>
      <w:pPr>
        <w:pStyle w:val="10"/>
        <w:keepNext w:val="0"/>
        <w:keepLines w:val="0"/>
        <w:pageBreakBefore w:val="0"/>
        <w:widowControl w:val="0"/>
        <w:kinsoku/>
        <w:wordWrap/>
        <w:overflowPunct/>
        <w:topLinePunct w:val="0"/>
        <w:bidi w:val="0"/>
        <w:snapToGrid/>
        <w:spacing w:line="600" w:lineRule="exact"/>
        <w:textAlignment w:val="auto"/>
        <w:rPr>
          <w:rFonts w:hint="eastAsia" w:ascii="方正仿宋_GB2312" w:hAnsi="方正仿宋_GB2312" w:eastAsia="方正仿宋_GB2312" w:cs="方正仿宋_GB2312"/>
          <w:sz w:val="32"/>
          <w:szCs w:val="32"/>
        </w:rPr>
      </w:pPr>
    </w:p>
    <w:p/>
    <w:p>
      <w:pPr>
        <w:pStyle w:val="10"/>
      </w:pPr>
    </w:p>
    <w:p/>
    <w:p/>
    <w:p>
      <w:pPr>
        <w:pStyle w:val="2"/>
        <w:ind w:left="0" w:leftChars="0" w:firstLine="0" w:firstLineChars="0"/>
      </w:pPr>
    </w:p>
    <w:tbl>
      <w:tblPr>
        <w:tblStyle w:val="12"/>
        <w:tblpPr w:leftFromText="180" w:rightFromText="180" w:vertAnchor="text" w:horzAnchor="page" w:tblpX="1420" w:tblpY="1882"/>
        <w:tblOverlap w:val="never"/>
        <w:tblW w:w="5061"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17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172" w:type="dxa"/>
            <w:tcBorders>
              <w:top w:val="single" w:color="auto" w:sz="12" w:space="0"/>
            </w:tcBorders>
            <w:noWrap w:val="0"/>
            <w:vAlign w:val="center"/>
          </w:tcPr>
          <w:p>
            <w:pPr>
              <w:pStyle w:val="3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665" w:leftChars="50" w:right="105" w:rightChars="50" w:hanging="560" w:hangingChars="200"/>
              <w:rPr>
                <w:rFonts w:hint="eastAsia" w:ascii="仿宋_GB2312" w:cs="仿宋_GB2312"/>
                <w:color w:val="auto"/>
                <w:sz w:val="28"/>
                <w:szCs w:val="28"/>
              </w:rPr>
            </w:pPr>
            <w:bookmarkStart w:id="0" w:name="抄送"/>
            <w:bookmarkEnd w:id="0"/>
            <w:r>
              <w:rPr>
                <w:rFonts w:hint="eastAsia" w:ascii="仿宋_GB2312" w:hAnsi="仿宋_GB2312" w:cs="仿宋_GB2312"/>
                <w:color w:val="auto"/>
                <w:sz w:val="28"/>
                <w:szCs w:val="28"/>
                <w:lang w:val="en-US" w:eastAsia="zh-CN"/>
              </w:rPr>
              <w:t>抄送</w:t>
            </w:r>
            <w:r>
              <w:rPr>
                <w:rFonts w:hint="eastAsia" w:ascii="仿宋_GB2312" w:hAnsi="仿宋_GB2312" w:cs="仿宋_GB2312"/>
                <w:color w:val="auto"/>
                <w:sz w:val="28"/>
                <w:szCs w:val="28"/>
              </w:rPr>
              <w:t>：</w:t>
            </w:r>
            <w:r>
              <w:rPr>
                <w:rFonts w:hint="eastAsia" w:ascii="仿宋_GB2312" w:hAnsi="仿宋_GB2312" w:cs="仿宋_GB2312"/>
                <w:color w:val="auto"/>
                <w:sz w:val="28"/>
                <w:szCs w:val="28"/>
                <w:lang w:val="en-US" w:eastAsia="zh-CN"/>
              </w:rPr>
              <w:t>县应急局、科商经信局</w:t>
            </w:r>
            <w:r>
              <w:rPr>
                <w:rFonts w:hint="eastAsia" w:ascii="仿宋_GB2312" w:hAnsi="仿宋_GB2312" w:cs="仿宋_GB2312"/>
                <w:color w:val="auto"/>
                <w:spacing w:val="-6"/>
                <w:sz w:val="28"/>
                <w:szCs w:val="2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9172" w:type="dxa"/>
            <w:tcBorders>
              <w:bottom w:val="single" w:color="auto" w:sz="12" w:space="0"/>
            </w:tcBorders>
            <w:noWrap w:val="0"/>
            <w:vAlign w:val="center"/>
          </w:tcPr>
          <w:p>
            <w:pPr>
              <w:pStyle w:val="31"/>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105" w:leftChars="50" w:right="105" w:rightChars="50" w:firstLine="0"/>
              <w:rPr>
                <w:rFonts w:hint="eastAsia" w:ascii="仿宋_GB2312" w:cs="仿宋_GB2312"/>
                <w:color w:val="auto"/>
                <w:sz w:val="28"/>
                <w:szCs w:val="28"/>
              </w:rPr>
            </w:pPr>
            <w:r>
              <w:rPr>
                <w:rFonts w:hint="eastAsia" w:ascii="仿宋_GB2312" w:hAnsi="仿宋_GB2312" w:cs="仿宋_GB2312"/>
                <w:color w:val="auto"/>
                <w:sz w:val="28"/>
                <w:szCs w:val="28"/>
                <w:lang w:val="en-US" w:eastAsia="zh-CN"/>
              </w:rPr>
              <w:t>六安市金寨县生态环境分局</w:t>
            </w:r>
            <w:r>
              <w:rPr>
                <w:rFonts w:hint="eastAsia" w:ascii="仿宋_GB2312" w:hAnsi="仿宋_GB2312" w:cs="仿宋_GB2312"/>
                <w:color w:val="auto"/>
                <w:sz w:val="28"/>
                <w:szCs w:val="28"/>
              </w:rPr>
              <w:t xml:space="preserve">        </w:t>
            </w:r>
            <w:r>
              <w:rPr>
                <w:rFonts w:hint="eastAsia" w:ascii="仿宋_GB2312" w:hAnsi="仿宋_GB2312" w:cs="仿宋_GB2312"/>
                <w:color w:val="auto"/>
                <w:sz w:val="28"/>
                <w:szCs w:val="28"/>
                <w:lang w:val="en-US" w:eastAsia="zh-CN"/>
              </w:rPr>
              <w:t xml:space="preserve">  </w:t>
            </w:r>
            <w:r>
              <w:rPr>
                <w:rFonts w:hint="eastAsia" w:ascii="仿宋_GB2312" w:hAnsi="仿宋_GB2312" w:cs="仿宋_GB2312"/>
                <w:color w:val="auto"/>
                <w:sz w:val="28"/>
                <w:szCs w:val="28"/>
              </w:rPr>
              <w:t xml:space="preserve">  </w:t>
            </w:r>
            <w:r>
              <w:rPr>
                <w:rFonts w:hint="eastAsia" w:ascii="仿宋_GB2312" w:hAnsi="仿宋_GB2312" w:cs="仿宋_GB2312"/>
                <w:color w:val="auto"/>
                <w:sz w:val="28"/>
                <w:szCs w:val="28"/>
                <w:lang w:val="en-US" w:eastAsia="zh-CN"/>
              </w:rPr>
              <w:t xml:space="preserve">   </w:t>
            </w:r>
            <w:r>
              <w:rPr>
                <w:rFonts w:hint="eastAsia" w:ascii="仿宋_GB2312" w:hAnsi="仿宋_GB2312" w:cs="仿宋_GB2312"/>
                <w:color w:val="auto"/>
                <w:sz w:val="28"/>
                <w:szCs w:val="28"/>
              </w:rPr>
              <w:t xml:space="preserve"> </w:t>
            </w:r>
            <w:r>
              <w:rPr>
                <w:rFonts w:hint="eastAsia" w:ascii="仿宋_GB2312" w:hAnsi="仿宋_GB2312" w:cs="仿宋_GB2312"/>
                <w:color w:val="auto"/>
                <w:sz w:val="28"/>
                <w:szCs w:val="28"/>
                <w:lang w:val="en-US" w:eastAsia="zh-CN"/>
              </w:rPr>
              <w:t xml:space="preserve">  </w:t>
            </w:r>
            <w:r>
              <w:rPr>
                <w:rFonts w:hint="eastAsia" w:ascii="仿宋_GB2312" w:hAnsi="仿宋_GB2312" w:cs="仿宋_GB2312"/>
                <w:color w:val="auto"/>
                <w:sz w:val="28"/>
                <w:szCs w:val="28"/>
              </w:rPr>
              <w:t xml:space="preserve"> 202</w:t>
            </w:r>
            <w:r>
              <w:rPr>
                <w:rFonts w:hint="eastAsia" w:ascii="仿宋_GB2312" w:hAnsi="仿宋_GB2312" w:cs="仿宋_GB2312"/>
                <w:color w:val="auto"/>
                <w:sz w:val="28"/>
                <w:szCs w:val="28"/>
                <w:lang w:val="en-US" w:eastAsia="zh-CN"/>
              </w:rPr>
              <w:t>4</w:t>
            </w:r>
            <w:r>
              <w:rPr>
                <w:rFonts w:hint="eastAsia" w:ascii="仿宋_GB2312" w:hAnsi="仿宋_GB2312" w:cs="仿宋_GB2312"/>
                <w:color w:val="auto"/>
                <w:sz w:val="28"/>
                <w:szCs w:val="28"/>
              </w:rPr>
              <w:t>年</w:t>
            </w:r>
            <w:r>
              <w:rPr>
                <w:rFonts w:hint="eastAsia" w:ascii="仿宋_GB2312" w:hAnsi="仿宋_GB2312" w:cs="仿宋_GB2312"/>
                <w:color w:val="auto"/>
                <w:sz w:val="28"/>
                <w:szCs w:val="28"/>
                <w:lang w:val="en-US" w:eastAsia="zh-CN"/>
              </w:rPr>
              <w:t>4</w:t>
            </w:r>
            <w:r>
              <w:rPr>
                <w:rFonts w:hint="eastAsia" w:ascii="仿宋_GB2312" w:hAnsi="仿宋_GB2312" w:cs="仿宋_GB2312"/>
                <w:color w:val="auto"/>
                <w:sz w:val="28"/>
                <w:szCs w:val="28"/>
              </w:rPr>
              <w:t>月</w:t>
            </w:r>
            <w:r>
              <w:rPr>
                <w:rFonts w:hint="eastAsia" w:ascii="仿宋_GB2312" w:hAnsi="仿宋_GB2312" w:cs="仿宋_GB2312"/>
                <w:color w:val="auto"/>
                <w:sz w:val="28"/>
                <w:szCs w:val="28"/>
                <w:lang w:val="en-US" w:eastAsia="zh-CN"/>
              </w:rPr>
              <w:t>15</w:t>
            </w:r>
            <w:r>
              <w:rPr>
                <w:rFonts w:hint="eastAsia" w:ascii="仿宋_GB2312" w:hAnsi="仿宋_GB2312" w:cs="仿宋_GB2312"/>
                <w:color w:val="auto"/>
                <w:sz w:val="28"/>
                <w:szCs w:val="28"/>
              </w:rPr>
              <w:t>日印发</w:t>
            </w:r>
          </w:p>
        </w:tc>
      </w:tr>
    </w:tbl>
    <w:p>
      <w:pPr>
        <w:keepNext w:val="0"/>
        <w:keepLines w:val="0"/>
        <w:pageBreakBefore w:val="0"/>
        <w:widowControl w:val="0"/>
        <w:kinsoku/>
        <w:wordWrap/>
        <w:overflowPunct/>
        <w:topLinePunct w:val="0"/>
        <w:autoSpaceDE/>
        <w:autoSpaceDN/>
        <w:bidi w:val="0"/>
        <w:adjustRightInd/>
        <w:snapToGrid/>
        <w:spacing w:line="560" w:lineRule="exact"/>
        <w:ind w:right="640"/>
        <w:jc w:val="both"/>
        <w:textAlignment w:val="auto"/>
        <w:rPr>
          <w:rFonts w:hint="eastAsia"/>
        </w:rPr>
      </w:pPr>
      <w:bookmarkStart w:id="1" w:name="_GoBack"/>
      <w:bookmarkEnd w:id="1"/>
      <w:r>
        <w:rPr>
          <w:rFonts w:hint="eastAsia"/>
        </w:rPr>
        <mc:AlternateContent>
          <mc:Choice Requires="wps">
            <w:drawing>
              <wp:anchor distT="0" distB="0" distL="114300" distR="114300" simplePos="0" relativeHeight="251663360" behindDoc="0" locked="0" layoutInCell="1" allowOverlap="1">
                <wp:simplePos x="0" y="0"/>
                <wp:positionH relativeFrom="column">
                  <wp:posOffset>1600200</wp:posOffset>
                </wp:positionH>
                <wp:positionV relativeFrom="paragraph">
                  <wp:posOffset>9695815</wp:posOffset>
                </wp:positionV>
                <wp:extent cx="5810885" cy="3175"/>
                <wp:effectExtent l="0" t="0" r="0" b="0"/>
                <wp:wrapNone/>
                <wp:docPr id="6" name="直接连接符 6"/>
                <wp:cNvGraphicFramePr/>
                <a:graphic xmlns:a="http://schemas.openxmlformats.org/drawingml/2006/main">
                  <a:graphicData uri="http://schemas.microsoft.com/office/word/2010/wordprocessingShape">
                    <wps:wsp>
                      <wps:cNvCnPr/>
                      <wps:spPr>
                        <a:xfrm flipV="1">
                          <a:off x="0" y="0"/>
                          <a:ext cx="5810885" cy="3175"/>
                        </a:xfrm>
                        <a:prstGeom prst="line">
                          <a:avLst/>
                        </a:prstGeom>
                        <a:ln>
                          <a:headEnd type="none" w="med" len="med"/>
                          <a:tailEnd type="none" w="med" len="med"/>
                        </a:ln>
                      </wps:spPr>
                      <wps:style>
                        <a:lnRef idx="1">
                          <a:schemeClr val="dk1"/>
                        </a:lnRef>
                        <a:fillRef idx="0">
                          <a:schemeClr val="dk1"/>
                        </a:fillRef>
                        <a:effectRef idx="0">
                          <a:schemeClr val="dk1"/>
                        </a:effectRef>
                        <a:fontRef idx="minor">
                          <a:schemeClr val="tx1"/>
                        </a:fontRef>
                      </wps:style>
                      <wps:bodyPr upright="1"/>
                    </wps:wsp>
                  </a:graphicData>
                </a:graphic>
              </wp:anchor>
            </w:drawing>
          </mc:Choice>
          <mc:Fallback>
            <w:pict>
              <v:line id="_x0000_s1026" o:spid="_x0000_s1026" o:spt="20" style="position:absolute;left:0pt;flip:y;margin-left:126pt;margin-top:763.45pt;height:0.25pt;width:457.55pt;z-index:251663360;mso-width-relative:page;mso-height-relative:page;" filled="f" stroked="t" coordsize="21600,21600" o:gfxdata="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zhvTbdoAAAAOAQAADwAAAAAAAAABACAAAAAiAAAAZHJzL2Rvd25yZXYueG1sUEsBAhQAFAAAAAgA&#10;h07iQL7gNHojAgAAQAQAAA4AAAAAAAAAAQAgAAAAKQEAAGRycy9lMm9Eb2MueG1sUEsFBgAAAAAG&#10;AAYAWQEAAL4FAAAAAA==&#10;">
                <v:fill on="f" focussize="0,0"/>
                <v:stroke color="#000000 [3200]" joinstyle="round"/>
                <v:imagedata o:title=""/>
                <o:lock v:ext="edit" aspectratio="f"/>
              </v:line>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1447800</wp:posOffset>
                </wp:positionH>
                <wp:positionV relativeFrom="paragraph">
                  <wp:posOffset>9543415</wp:posOffset>
                </wp:positionV>
                <wp:extent cx="5810885" cy="3175"/>
                <wp:effectExtent l="0" t="0" r="0" b="0"/>
                <wp:wrapNone/>
                <wp:docPr id="5" name="直接连接符 5"/>
                <wp:cNvGraphicFramePr/>
                <a:graphic xmlns:a="http://schemas.openxmlformats.org/drawingml/2006/main">
                  <a:graphicData uri="http://schemas.microsoft.com/office/word/2010/wordprocessingShape">
                    <wps:wsp>
                      <wps:cNvCnPr/>
                      <wps:spPr>
                        <a:xfrm flipV="1">
                          <a:off x="0" y="0"/>
                          <a:ext cx="5810885" cy="3175"/>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14pt;margin-top:751.45pt;height:0.25pt;width:457.55pt;z-index:251662336;mso-width-relative:page;mso-height-relative:page;" filled="f" stroked="t" coordsize="21600,21600" o:gfxdata="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9U0M62gAAAA4BAAAPAAAAAAAAAAEAIAAAACIAAABkcnMv&#10;ZG93bnJldi54bWxQSwECFAAUAAAACACHTuJA2ldsmAECAADyAwAADgAAAAAAAAABACAAAAApAQAA&#10;ZHJzL2Uyb0RvYy54bWxQSwUGAAAAAAYABgBZAQAAnAUAAAAA&#10;">
                <v:fill on="f" focussize="0,0"/>
                <v:stroke weight="1.5pt" color="#000000" joinstyle="round"/>
                <v:imagedata o:title=""/>
                <o:lock v:ext="edit" aspectratio="f"/>
              </v:lin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1295400</wp:posOffset>
                </wp:positionH>
                <wp:positionV relativeFrom="paragraph">
                  <wp:posOffset>9391015</wp:posOffset>
                </wp:positionV>
                <wp:extent cx="5810885" cy="3175"/>
                <wp:effectExtent l="0" t="0" r="0" b="0"/>
                <wp:wrapNone/>
                <wp:docPr id="4" name="直接连接符 4"/>
                <wp:cNvGraphicFramePr/>
                <a:graphic xmlns:a="http://schemas.openxmlformats.org/drawingml/2006/main">
                  <a:graphicData uri="http://schemas.microsoft.com/office/word/2010/wordprocessingShape">
                    <wps:wsp>
                      <wps:cNvCnPr/>
                      <wps:spPr>
                        <a:xfrm flipV="1">
                          <a:off x="0" y="0"/>
                          <a:ext cx="5810885" cy="3175"/>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02pt;margin-top:739.45pt;height:0.25pt;width:457.55pt;z-index:251661312;mso-width-relative:page;mso-height-relative:page;" filled="f" stroked="t" coordsize="21600,21600" o:gfxdata="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iwrkBdoAAAAOAQAADwAAAAAAAAABACAAAAAiAAAAZHJzL2Rv&#10;d25yZXYueG1sUEsBAhQAFAAAAAgAh07iQHVj/zr/AQAA8gMAAA4AAAAAAAAAAQAgAAAAKQEAAGRy&#10;cy9lMm9Eb2MueG1sUEsFBgAAAAAGAAYAWQEAAJoFAAAAAA==&#10;">
                <v:fill on="f" focussize="0,0"/>
                <v:stroke weight="1.5pt" color="#000000" joinstyle="round"/>
                <v:imagedata o:title=""/>
                <o:lock v:ext="edit" aspectratio="f"/>
              </v:line>
            </w:pict>
          </mc:Fallback>
        </mc:AlternateContent>
      </w:r>
      <w:r>
        <w:rPr>
          <w:rFonts w:hint="eastAsia"/>
        </w:rPr>
        <mc:AlternateContent>
          <mc:Choice Requires="wps">
            <w:drawing>
              <wp:anchor distT="0" distB="0" distL="114300" distR="114300" simplePos="0" relativeHeight="251660288" behindDoc="0" locked="0" layoutInCell="1" allowOverlap="1">
                <wp:simplePos x="0" y="0"/>
                <wp:positionH relativeFrom="column">
                  <wp:posOffset>1143000</wp:posOffset>
                </wp:positionH>
                <wp:positionV relativeFrom="paragraph">
                  <wp:posOffset>9238615</wp:posOffset>
                </wp:positionV>
                <wp:extent cx="5810885" cy="3175"/>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5810885" cy="3175"/>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90pt;margin-top:727.45pt;height:0.25pt;width:457.55pt;z-index:251660288;mso-width-relative:page;mso-height-relative:page;" filled="f" stroked="t" coordsize="21600,21600" o:gfxdata="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8Ojq/NgAAAAOAQAADwAAAAAAAAABACAAAAAiAAAAZHJzL2Rvd25y&#10;ZXYueG1sUEsBAhQAFAAAAAgAh07iQLrg5OH+AQAA8gMAAA4AAAAAAAAAAQAgAAAAJwEAAGRycy9l&#10;Mm9Eb2MueG1sUEsFBgAAAAAGAAYAWQEAAJcFAAAAAA==&#10;">
                <v:fill on="f" focussize="0,0"/>
                <v:stroke weight="1.5pt" color="#000000" joinstyle="round"/>
                <v:imagedata o:title=""/>
                <o:lock v:ext="edit" aspectratio="f"/>
              </v:line>
            </w:pict>
          </mc:Fallback>
        </mc:AlternateContent>
      </w:r>
      <w:r>
        <w:rPr>
          <w:rFonts w:hint="eastAsia"/>
        </w:rPr>
        <mc:AlternateContent>
          <mc:Choice Requires="wps">
            <w:drawing>
              <wp:anchor distT="0" distB="0" distL="114300" distR="114300" simplePos="0" relativeHeight="251659264" behindDoc="0" locked="0" layoutInCell="1" allowOverlap="1">
                <wp:simplePos x="0" y="0"/>
                <wp:positionH relativeFrom="column">
                  <wp:posOffset>990600</wp:posOffset>
                </wp:positionH>
                <wp:positionV relativeFrom="paragraph">
                  <wp:posOffset>9086215</wp:posOffset>
                </wp:positionV>
                <wp:extent cx="5810885" cy="3175"/>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5810885" cy="3175"/>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78pt;margin-top:715.45pt;height:0.25pt;width:457.55pt;z-index:251659264;mso-width-relative:page;mso-height-relative:page;" filled="f" stroked="t" coordsize="21600,21600" o:gfxdata="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ffpQ02AAAAA4BAAAPAAAAAAAAAAEAIAAAACIAAABkcnMvZG93bnJl&#10;di54bWxQSwECFAAUAAAACACHTuJApY+zf/0BAADyAwAADgAAAAAAAAABACAAAAAnAQAAZHJzL2Uy&#10;b0RvYy54bWxQSwUGAAAAAAYABgBZAQAAlgUAAAAA&#10;">
                <v:fill on="f" focussize="0,0"/>
                <v:stroke weight="1.5pt" color="#000000" joinstyle="round"/>
                <v:imagedata o:title=""/>
                <o:lock v:ext="edit" aspectratio="f"/>
              </v:line>
            </w:pict>
          </mc:Fallback>
        </mc:AlternateContent>
      </w:r>
    </w:p>
    <w:sectPr>
      <w:headerReference r:id="rId3" w:type="default"/>
      <w:footerReference r:id="rId4" w:type="default"/>
      <w:footerReference r:id="rId5" w:type="even"/>
      <w:pgSz w:w="11907" w:h="16840"/>
      <w:pgMar w:top="1417" w:right="1531" w:bottom="1417" w:left="1531" w:header="851" w:footer="907" w:gutter="0"/>
      <w:pgBorders>
        <w:top w:val="none" w:sz="0" w:space="0"/>
        <w:left w:val="none" w:sz="0" w:space="0"/>
        <w:bottom w:val="none" w:sz="0" w:space="0"/>
        <w:right w:val="none" w:sz="0" w:space="0"/>
      </w:pgBorders>
      <w:pgNumType w:fmt="numberInDash"/>
      <w:cols w:space="720"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Style w:val="15"/>
                              <w:rFonts w:hint="eastAsia" w:ascii="宋体" w:hAnsi="宋体" w:eastAsia="宋体" w:cs="宋体"/>
                              <w:sz w:val="28"/>
                              <w:szCs w:val="28"/>
                            </w:rPr>
                          </w:pPr>
                          <w:r>
                            <w:rPr>
                              <w:rStyle w:val="15"/>
                              <w:rFonts w:hint="eastAsia" w:ascii="宋体" w:hAnsi="宋体" w:eastAsia="宋体" w:cs="宋体"/>
                              <w:sz w:val="28"/>
                              <w:szCs w:val="28"/>
                            </w:rPr>
                            <w:fldChar w:fldCharType="begin"/>
                          </w:r>
                          <w:r>
                            <w:rPr>
                              <w:rStyle w:val="15"/>
                              <w:rFonts w:hint="eastAsia" w:ascii="宋体" w:hAnsi="宋体" w:eastAsia="宋体" w:cs="宋体"/>
                              <w:sz w:val="28"/>
                              <w:szCs w:val="28"/>
                            </w:rPr>
                            <w:instrText xml:space="preserve">PAGE  </w:instrText>
                          </w:r>
                          <w:r>
                            <w:rPr>
                              <w:rStyle w:val="15"/>
                              <w:rFonts w:hint="eastAsia" w:ascii="宋体" w:hAnsi="宋体" w:eastAsia="宋体" w:cs="宋体"/>
                              <w:sz w:val="28"/>
                              <w:szCs w:val="28"/>
                            </w:rPr>
                            <w:fldChar w:fldCharType="separate"/>
                          </w:r>
                          <w:r>
                            <w:rPr>
                              <w:rStyle w:val="15"/>
                              <w:rFonts w:hint="eastAsia" w:ascii="宋体" w:hAnsi="宋体" w:eastAsia="宋体" w:cs="宋体"/>
                              <w:sz w:val="28"/>
                              <w:szCs w:val="28"/>
                            </w:rPr>
                            <w:t>- 2 -</w:t>
                          </w:r>
                          <w:r>
                            <w:rPr>
                              <w:rStyle w:val="15"/>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8"/>
                      <w:rPr>
                        <w:rStyle w:val="15"/>
                        <w:rFonts w:hint="eastAsia" w:ascii="宋体" w:hAnsi="宋体" w:eastAsia="宋体" w:cs="宋体"/>
                        <w:sz w:val="28"/>
                        <w:szCs w:val="28"/>
                      </w:rPr>
                    </w:pPr>
                    <w:r>
                      <w:rPr>
                        <w:rStyle w:val="15"/>
                        <w:rFonts w:hint="eastAsia" w:ascii="宋体" w:hAnsi="宋体" w:eastAsia="宋体" w:cs="宋体"/>
                        <w:sz w:val="28"/>
                        <w:szCs w:val="28"/>
                      </w:rPr>
                      <w:fldChar w:fldCharType="begin"/>
                    </w:r>
                    <w:r>
                      <w:rPr>
                        <w:rStyle w:val="15"/>
                        <w:rFonts w:hint="eastAsia" w:ascii="宋体" w:hAnsi="宋体" w:eastAsia="宋体" w:cs="宋体"/>
                        <w:sz w:val="28"/>
                        <w:szCs w:val="28"/>
                      </w:rPr>
                      <w:instrText xml:space="preserve">PAGE  </w:instrText>
                    </w:r>
                    <w:r>
                      <w:rPr>
                        <w:rStyle w:val="15"/>
                        <w:rFonts w:hint="eastAsia" w:ascii="宋体" w:hAnsi="宋体" w:eastAsia="宋体" w:cs="宋体"/>
                        <w:sz w:val="28"/>
                        <w:szCs w:val="28"/>
                      </w:rPr>
                      <w:fldChar w:fldCharType="separate"/>
                    </w:r>
                    <w:r>
                      <w:rPr>
                        <w:rStyle w:val="15"/>
                        <w:rFonts w:hint="eastAsia" w:ascii="宋体" w:hAnsi="宋体" w:eastAsia="宋体" w:cs="宋体"/>
                        <w:sz w:val="28"/>
                        <w:szCs w:val="28"/>
                      </w:rPr>
                      <w:t>- 2 -</w:t>
                    </w:r>
                    <w:r>
                      <w:rPr>
                        <w:rStyle w:val="15"/>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5"/>
      </w:rPr>
    </w:pPr>
    <w:r>
      <w:rPr>
        <w:rStyle w:val="15"/>
      </w:rPr>
      <w:fldChar w:fldCharType="begin"/>
    </w:r>
    <w:r>
      <w:rPr>
        <w:rStyle w:val="15"/>
      </w:rPr>
      <w:instrText xml:space="preserve">PAGE  </w:instrText>
    </w:r>
    <w:r>
      <w:rPr>
        <w:rStyle w:val="15"/>
      </w:rPr>
      <w:fldChar w:fldCharType="end"/>
    </w:r>
  </w:p>
  <w:p>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E13178"/>
    <w:multiLevelType w:val="singleLevel"/>
    <w:tmpl w:val="81E1317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YwNGQ1Yjk0YTRiZDA0ODk5NTM3MzM2ZTcxMjcyNTYifQ=="/>
  </w:docVars>
  <w:rsids>
    <w:rsidRoot w:val="00172A27"/>
    <w:rsid w:val="00021251"/>
    <w:rsid w:val="000357DC"/>
    <w:rsid w:val="00036EBC"/>
    <w:rsid w:val="00046427"/>
    <w:rsid w:val="00051D47"/>
    <w:rsid w:val="0006380B"/>
    <w:rsid w:val="00082A23"/>
    <w:rsid w:val="000B01A6"/>
    <w:rsid w:val="000D4D15"/>
    <w:rsid w:val="000F2888"/>
    <w:rsid w:val="0010613E"/>
    <w:rsid w:val="00117381"/>
    <w:rsid w:val="0012077D"/>
    <w:rsid w:val="00124B4B"/>
    <w:rsid w:val="00126A51"/>
    <w:rsid w:val="00130BF2"/>
    <w:rsid w:val="00134D6E"/>
    <w:rsid w:val="00140FC5"/>
    <w:rsid w:val="00151BFF"/>
    <w:rsid w:val="001658C7"/>
    <w:rsid w:val="00167023"/>
    <w:rsid w:val="001678F3"/>
    <w:rsid w:val="00172A27"/>
    <w:rsid w:val="00183535"/>
    <w:rsid w:val="00191FE8"/>
    <w:rsid w:val="001A6A18"/>
    <w:rsid w:val="001A73C0"/>
    <w:rsid w:val="001B7505"/>
    <w:rsid w:val="001C2611"/>
    <w:rsid w:val="001C7DD7"/>
    <w:rsid w:val="001D44A7"/>
    <w:rsid w:val="001F70B5"/>
    <w:rsid w:val="00231EDF"/>
    <w:rsid w:val="00280345"/>
    <w:rsid w:val="00280E22"/>
    <w:rsid w:val="0029088E"/>
    <w:rsid w:val="00296209"/>
    <w:rsid w:val="002A545F"/>
    <w:rsid w:val="002A6CBA"/>
    <w:rsid w:val="002D3B2D"/>
    <w:rsid w:val="0031008A"/>
    <w:rsid w:val="00317160"/>
    <w:rsid w:val="003218C9"/>
    <w:rsid w:val="00322B56"/>
    <w:rsid w:val="00334FCF"/>
    <w:rsid w:val="003606C1"/>
    <w:rsid w:val="003635B2"/>
    <w:rsid w:val="0036467A"/>
    <w:rsid w:val="003820C7"/>
    <w:rsid w:val="0038784D"/>
    <w:rsid w:val="0039090F"/>
    <w:rsid w:val="003D384F"/>
    <w:rsid w:val="003E65FD"/>
    <w:rsid w:val="003E68EC"/>
    <w:rsid w:val="004049C6"/>
    <w:rsid w:val="00451283"/>
    <w:rsid w:val="00452C27"/>
    <w:rsid w:val="00456287"/>
    <w:rsid w:val="00470F09"/>
    <w:rsid w:val="00494C6C"/>
    <w:rsid w:val="004B2335"/>
    <w:rsid w:val="004B5C4C"/>
    <w:rsid w:val="004D03BD"/>
    <w:rsid w:val="004D777B"/>
    <w:rsid w:val="004D7853"/>
    <w:rsid w:val="004E1BF8"/>
    <w:rsid w:val="004F1D6E"/>
    <w:rsid w:val="0050355E"/>
    <w:rsid w:val="00503D10"/>
    <w:rsid w:val="00504F02"/>
    <w:rsid w:val="005115BF"/>
    <w:rsid w:val="00522833"/>
    <w:rsid w:val="00524DC5"/>
    <w:rsid w:val="00530C34"/>
    <w:rsid w:val="00541856"/>
    <w:rsid w:val="00555E02"/>
    <w:rsid w:val="005771D8"/>
    <w:rsid w:val="00591CBF"/>
    <w:rsid w:val="005950D0"/>
    <w:rsid w:val="0059516A"/>
    <w:rsid w:val="005A2059"/>
    <w:rsid w:val="005A3CFF"/>
    <w:rsid w:val="005C04F4"/>
    <w:rsid w:val="005D66AC"/>
    <w:rsid w:val="00620C99"/>
    <w:rsid w:val="00630441"/>
    <w:rsid w:val="00633301"/>
    <w:rsid w:val="006458C6"/>
    <w:rsid w:val="00667AE4"/>
    <w:rsid w:val="00684AF6"/>
    <w:rsid w:val="00684B0A"/>
    <w:rsid w:val="00696905"/>
    <w:rsid w:val="006979F2"/>
    <w:rsid w:val="006C44DD"/>
    <w:rsid w:val="006C4D87"/>
    <w:rsid w:val="006C68F0"/>
    <w:rsid w:val="006C7E95"/>
    <w:rsid w:val="006F061F"/>
    <w:rsid w:val="006F6BE0"/>
    <w:rsid w:val="00701574"/>
    <w:rsid w:val="00701E5B"/>
    <w:rsid w:val="00703626"/>
    <w:rsid w:val="0070403C"/>
    <w:rsid w:val="00716E43"/>
    <w:rsid w:val="00720FE3"/>
    <w:rsid w:val="00723E98"/>
    <w:rsid w:val="00754AED"/>
    <w:rsid w:val="007679D2"/>
    <w:rsid w:val="00785533"/>
    <w:rsid w:val="007B4EB9"/>
    <w:rsid w:val="007D2933"/>
    <w:rsid w:val="007D66C9"/>
    <w:rsid w:val="007E170C"/>
    <w:rsid w:val="007E205A"/>
    <w:rsid w:val="007E784A"/>
    <w:rsid w:val="007F6D0C"/>
    <w:rsid w:val="00800A05"/>
    <w:rsid w:val="0081627F"/>
    <w:rsid w:val="00832E44"/>
    <w:rsid w:val="00832E8D"/>
    <w:rsid w:val="00834B56"/>
    <w:rsid w:val="008520FC"/>
    <w:rsid w:val="008650DC"/>
    <w:rsid w:val="00873B6D"/>
    <w:rsid w:val="0087626F"/>
    <w:rsid w:val="00877A5F"/>
    <w:rsid w:val="0088305D"/>
    <w:rsid w:val="008901DE"/>
    <w:rsid w:val="008A77B2"/>
    <w:rsid w:val="008B1636"/>
    <w:rsid w:val="008C5DB7"/>
    <w:rsid w:val="008D266F"/>
    <w:rsid w:val="008E18E5"/>
    <w:rsid w:val="008E1B4E"/>
    <w:rsid w:val="008F767A"/>
    <w:rsid w:val="00906495"/>
    <w:rsid w:val="00914863"/>
    <w:rsid w:val="009156F9"/>
    <w:rsid w:val="00923BAF"/>
    <w:rsid w:val="00927DCB"/>
    <w:rsid w:val="009427DE"/>
    <w:rsid w:val="00946CAB"/>
    <w:rsid w:val="0096522A"/>
    <w:rsid w:val="009A3E7D"/>
    <w:rsid w:val="009C11EB"/>
    <w:rsid w:val="009C2CCA"/>
    <w:rsid w:val="009D259B"/>
    <w:rsid w:val="009D3ED7"/>
    <w:rsid w:val="009F1D06"/>
    <w:rsid w:val="009F5E41"/>
    <w:rsid w:val="00A2171B"/>
    <w:rsid w:val="00A27C11"/>
    <w:rsid w:val="00A54E19"/>
    <w:rsid w:val="00A633D2"/>
    <w:rsid w:val="00A750E7"/>
    <w:rsid w:val="00AA4345"/>
    <w:rsid w:val="00AD250B"/>
    <w:rsid w:val="00AD3299"/>
    <w:rsid w:val="00AE4059"/>
    <w:rsid w:val="00AE490C"/>
    <w:rsid w:val="00AF5B3A"/>
    <w:rsid w:val="00B30BEE"/>
    <w:rsid w:val="00B42AC4"/>
    <w:rsid w:val="00B67600"/>
    <w:rsid w:val="00B75241"/>
    <w:rsid w:val="00B7593B"/>
    <w:rsid w:val="00BF1C93"/>
    <w:rsid w:val="00C03F5E"/>
    <w:rsid w:val="00C0523F"/>
    <w:rsid w:val="00C07D5C"/>
    <w:rsid w:val="00C1147B"/>
    <w:rsid w:val="00C15F5A"/>
    <w:rsid w:val="00C177EA"/>
    <w:rsid w:val="00C2254F"/>
    <w:rsid w:val="00C36086"/>
    <w:rsid w:val="00C40EA2"/>
    <w:rsid w:val="00C41B61"/>
    <w:rsid w:val="00C52E26"/>
    <w:rsid w:val="00C53FAE"/>
    <w:rsid w:val="00C6071C"/>
    <w:rsid w:val="00C62B18"/>
    <w:rsid w:val="00C66328"/>
    <w:rsid w:val="00C7777E"/>
    <w:rsid w:val="00C81A78"/>
    <w:rsid w:val="00C91CCC"/>
    <w:rsid w:val="00C938C4"/>
    <w:rsid w:val="00CA168F"/>
    <w:rsid w:val="00CA25FA"/>
    <w:rsid w:val="00CA39C1"/>
    <w:rsid w:val="00CA3EFC"/>
    <w:rsid w:val="00CB259E"/>
    <w:rsid w:val="00CB4DF4"/>
    <w:rsid w:val="00CC0C26"/>
    <w:rsid w:val="00CD3269"/>
    <w:rsid w:val="00CE0451"/>
    <w:rsid w:val="00CE66B5"/>
    <w:rsid w:val="00CF1B7C"/>
    <w:rsid w:val="00D0008F"/>
    <w:rsid w:val="00D12AC9"/>
    <w:rsid w:val="00D2248A"/>
    <w:rsid w:val="00D37BA3"/>
    <w:rsid w:val="00D45C1E"/>
    <w:rsid w:val="00D51626"/>
    <w:rsid w:val="00D74986"/>
    <w:rsid w:val="00D85EE9"/>
    <w:rsid w:val="00D96F3A"/>
    <w:rsid w:val="00DA147B"/>
    <w:rsid w:val="00DA6071"/>
    <w:rsid w:val="00DB227A"/>
    <w:rsid w:val="00DC0CD8"/>
    <w:rsid w:val="00DC1EE7"/>
    <w:rsid w:val="00DD1692"/>
    <w:rsid w:val="00DE66A8"/>
    <w:rsid w:val="00DF361D"/>
    <w:rsid w:val="00DF42CF"/>
    <w:rsid w:val="00E053F2"/>
    <w:rsid w:val="00E1111D"/>
    <w:rsid w:val="00E24990"/>
    <w:rsid w:val="00E3463E"/>
    <w:rsid w:val="00E376F8"/>
    <w:rsid w:val="00E416A5"/>
    <w:rsid w:val="00E41E3D"/>
    <w:rsid w:val="00E468FC"/>
    <w:rsid w:val="00E47E14"/>
    <w:rsid w:val="00E54730"/>
    <w:rsid w:val="00E600C6"/>
    <w:rsid w:val="00E86750"/>
    <w:rsid w:val="00E86D6C"/>
    <w:rsid w:val="00E87300"/>
    <w:rsid w:val="00E87A9E"/>
    <w:rsid w:val="00EA60FC"/>
    <w:rsid w:val="00EB3CC0"/>
    <w:rsid w:val="00EB41E6"/>
    <w:rsid w:val="00EB69B3"/>
    <w:rsid w:val="00ED39BE"/>
    <w:rsid w:val="00EE0EAB"/>
    <w:rsid w:val="00EE1912"/>
    <w:rsid w:val="00EF36B3"/>
    <w:rsid w:val="00EF4510"/>
    <w:rsid w:val="00EF7B28"/>
    <w:rsid w:val="00F200D7"/>
    <w:rsid w:val="00F23D68"/>
    <w:rsid w:val="00F26306"/>
    <w:rsid w:val="00F42211"/>
    <w:rsid w:val="00F72A48"/>
    <w:rsid w:val="00F82DD1"/>
    <w:rsid w:val="00F85D67"/>
    <w:rsid w:val="00F90CCB"/>
    <w:rsid w:val="00FB06DA"/>
    <w:rsid w:val="00FB568E"/>
    <w:rsid w:val="00FC2238"/>
    <w:rsid w:val="00FF1E38"/>
    <w:rsid w:val="00FF394D"/>
    <w:rsid w:val="00FF6FC2"/>
    <w:rsid w:val="01570AFC"/>
    <w:rsid w:val="02431C36"/>
    <w:rsid w:val="02B22C12"/>
    <w:rsid w:val="03594924"/>
    <w:rsid w:val="041F7FBE"/>
    <w:rsid w:val="050F15B5"/>
    <w:rsid w:val="05311394"/>
    <w:rsid w:val="06626146"/>
    <w:rsid w:val="06BB0C57"/>
    <w:rsid w:val="06C474F5"/>
    <w:rsid w:val="0780648A"/>
    <w:rsid w:val="0818560B"/>
    <w:rsid w:val="0932499B"/>
    <w:rsid w:val="094B6B72"/>
    <w:rsid w:val="09D8354C"/>
    <w:rsid w:val="09DB0171"/>
    <w:rsid w:val="0A1026E6"/>
    <w:rsid w:val="0B37090B"/>
    <w:rsid w:val="0BF927CB"/>
    <w:rsid w:val="0D496E28"/>
    <w:rsid w:val="0D8749D3"/>
    <w:rsid w:val="0F2C41C6"/>
    <w:rsid w:val="0F4915BF"/>
    <w:rsid w:val="0F6F59FF"/>
    <w:rsid w:val="10BA0F6E"/>
    <w:rsid w:val="1106543B"/>
    <w:rsid w:val="11800BFC"/>
    <w:rsid w:val="12191133"/>
    <w:rsid w:val="13E92F74"/>
    <w:rsid w:val="148D1B59"/>
    <w:rsid w:val="15EC1F1E"/>
    <w:rsid w:val="171B44A8"/>
    <w:rsid w:val="17393D6D"/>
    <w:rsid w:val="178374F1"/>
    <w:rsid w:val="181026F2"/>
    <w:rsid w:val="18C4570A"/>
    <w:rsid w:val="19542DA6"/>
    <w:rsid w:val="199E2BFC"/>
    <w:rsid w:val="1A8F255B"/>
    <w:rsid w:val="1ADD1B15"/>
    <w:rsid w:val="1B837AE5"/>
    <w:rsid w:val="1BDE230A"/>
    <w:rsid w:val="1BF81689"/>
    <w:rsid w:val="1DD53DEA"/>
    <w:rsid w:val="1E9207B6"/>
    <w:rsid w:val="1ECE2D5A"/>
    <w:rsid w:val="1F2A29AB"/>
    <w:rsid w:val="1F9D50D9"/>
    <w:rsid w:val="226452E9"/>
    <w:rsid w:val="22FC03E0"/>
    <w:rsid w:val="23EA2F11"/>
    <w:rsid w:val="24B95959"/>
    <w:rsid w:val="257614E7"/>
    <w:rsid w:val="25797DC7"/>
    <w:rsid w:val="26045E34"/>
    <w:rsid w:val="266816DC"/>
    <w:rsid w:val="272A78C7"/>
    <w:rsid w:val="284C05FC"/>
    <w:rsid w:val="28762F33"/>
    <w:rsid w:val="2891296E"/>
    <w:rsid w:val="28B808CB"/>
    <w:rsid w:val="290628D0"/>
    <w:rsid w:val="29B70A94"/>
    <w:rsid w:val="2A996019"/>
    <w:rsid w:val="2BEF5290"/>
    <w:rsid w:val="2C390F02"/>
    <w:rsid w:val="2CA7585F"/>
    <w:rsid w:val="2CBA10A8"/>
    <w:rsid w:val="2CE43832"/>
    <w:rsid w:val="2E1B7F66"/>
    <w:rsid w:val="2FBF293D"/>
    <w:rsid w:val="2FD24801"/>
    <w:rsid w:val="32D30EDF"/>
    <w:rsid w:val="33302434"/>
    <w:rsid w:val="34437DD9"/>
    <w:rsid w:val="346E2FE8"/>
    <w:rsid w:val="356603E9"/>
    <w:rsid w:val="358B3A73"/>
    <w:rsid w:val="36A257D5"/>
    <w:rsid w:val="36E62A07"/>
    <w:rsid w:val="37024698"/>
    <w:rsid w:val="388918ED"/>
    <w:rsid w:val="39203F6A"/>
    <w:rsid w:val="39BD7F69"/>
    <w:rsid w:val="3A852DBB"/>
    <w:rsid w:val="3B201EEF"/>
    <w:rsid w:val="3BD3357D"/>
    <w:rsid w:val="3C782D64"/>
    <w:rsid w:val="3CB90D7F"/>
    <w:rsid w:val="3D262A68"/>
    <w:rsid w:val="3E004139"/>
    <w:rsid w:val="3E39480C"/>
    <w:rsid w:val="3EC16DA1"/>
    <w:rsid w:val="3FC94ED0"/>
    <w:rsid w:val="3FFC028A"/>
    <w:rsid w:val="40D8229B"/>
    <w:rsid w:val="422F4136"/>
    <w:rsid w:val="43026189"/>
    <w:rsid w:val="457C1B3E"/>
    <w:rsid w:val="46361D3D"/>
    <w:rsid w:val="46606D15"/>
    <w:rsid w:val="46954F5C"/>
    <w:rsid w:val="46E61E1A"/>
    <w:rsid w:val="47871A03"/>
    <w:rsid w:val="478C21E1"/>
    <w:rsid w:val="49407F48"/>
    <w:rsid w:val="4A4E7F19"/>
    <w:rsid w:val="4A832020"/>
    <w:rsid w:val="4B9863A8"/>
    <w:rsid w:val="4C31517C"/>
    <w:rsid w:val="4C557D69"/>
    <w:rsid w:val="4DA6066C"/>
    <w:rsid w:val="4E244613"/>
    <w:rsid w:val="4E3B4781"/>
    <w:rsid w:val="4E7656B4"/>
    <w:rsid w:val="4E8E0629"/>
    <w:rsid w:val="4E8F7643"/>
    <w:rsid w:val="500D2D95"/>
    <w:rsid w:val="50370EE4"/>
    <w:rsid w:val="515A516C"/>
    <w:rsid w:val="51EB1BDA"/>
    <w:rsid w:val="52255778"/>
    <w:rsid w:val="52552F2A"/>
    <w:rsid w:val="52E96A1E"/>
    <w:rsid w:val="534360B5"/>
    <w:rsid w:val="53AB7DBC"/>
    <w:rsid w:val="54CD4CA6"/>
    <w:rsid w:val="553701CB"/>
    <w:rsid w:val="555558F6"/>
    <w:rsid w:val="58FC68CD"/>
    <w:rsid w:val="59B71428"/>
    <w:rsid w:val="59C94A3F"/>
    <w:rsid w:val="59FF237B"/>
    <w:rsid w:val="5A6D661E"/>
    <w:rsid w:val="5A9A35FE"/>
    <w:rsid w:val="5ADF7095"/>
    <w:rsid w:val="5B31460E"/>
    <w:rsid w:val="5B5C7DD3"/>
    <w:rsid w:val="5B70039C"/>
    <w:rsid w:val="5CBD2290"/>
    <w:rsid w:val="5CFF78D0"/>
    <w:rsid w:val="5DE15DEC"/>
    <w:rsid w:val="5E3C53E8"/>
    <w:rsid w:val="5E421A86"/>
    <w:rsid w:val="5E8A3CAC"/>
    <w:rsid w:val="5F121B42"/>
    <w:rsid w:val="5F25294E"/>
    <w:rsid w:val="5F2D2AF7"/>
    <w:rsid w:val="60B94F1A"/>
    <w:rsid w:val="613C38C1"/>
    <w:rsid w:val="61E94E7B"/>
    <w:rsid w:val="61FD3E22"/>
    <w:rsid w:val="62465B2B"/>
    <w:rsid w:val="629C2237"/>
    <w:rsid w:val="62F738E6"/>
    <w:rsid w:val="634A503F"/>
    <w:rsid w:val="642252DE"/>
    <w:rsid w:val="64736587"/>
    <w:rsid w:val="64847D85"/>
    <w:rsid w:val="64CD5000"/>
    <w:rsid w:val="652C1C39"/>
    <w:rsid w:val="66B14967"/>
    <w:rsid w:val="66B830E3"/>
    <w:rsid w:val="67FD29D3"/>
    <w:rsid w:val="68620242"/>
    <w:rsid w:val="6A630604"/>
    <w:rsid w:val="6AD03BA3"/>
    <w:rsid w:val="6B1E13E6"/>
    <w:rsid w:val="6B905925"/>
    <w:rsid w:val="6C733CAF"/>
    <w:rsid w:val="6D986A17"/>
    <w:rsid w:val="6E047C14"/>
    <w:rsid w:val="6E2A5BE1"/>
    <w:rsid w:val="6E533D98"/>
    <w:rsid w:val="6F19478A"/>
    <w:rsid w:val="6F617AE8"/>
    <w:rsid w:val="709322BD"/>
    <w:rsid w:val="719C1066"/>
    <w:rsid w:val="7230003B"/>
    <w:rsid w:val="72792FA3"/>
    <w:rsid w:val="72EF05E5"/>
    <w:rsid w:val="73830CA6"/>
    <w:rsid w:val="74795C77"/>
    <w:rsid w:val="755A05F2"/>
    <w:rsid w:val="755F456E"/>
    <w:rsid w:val="75AD0232"/>
    <w:rsid w:val="783A00F1"/>
    <w:rsid w:val="786F10C3"/>
    <w:rsid w:val="787F0979"/>
    <w:rsid w:val="795D3046"/>
    <w:rsid w:val="79AA5641"/>
    <w:rsid w:val="79B750A1"/>
    <w:rsid w:val="7A5F3A8B"/>
    <w:rsid w:val="7ABE33A1"/>
    <w:rsid w:val="7B4B37AC"/>
    <w:rsid w:val="7DBC6A29"/>
    <w:rsid w:val="7DC9574D"/>
    <w:rsid w:val="7FC8197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qFormat="1" w:unhideWhenUsed="0" w:uiPriority="99" w:semiHidden="0"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4"/>
    <w:basedOn w:val="1"/>
    <w:next w:val="1"/>
    <w:link w:val="17"/>
    <w:autoRedefine/>
    <w:qFormat/>
    <w:uiPriority w:val="99"/>
    <w:pPr>
      <w:keepNext/>
      <w:keepLines/>
      <w:spacing w:before="120" w:after="120"/>
      <w:ind w:firstLine="200" w:firstLineChars="200"/>
      <w:outlineLvl w:val="3"/>
    </w:pPr>
    <w:rPr>
      <w:rFonts w:ascii="宋体" w:hAnsi="Arial"/>
      <w:b/>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First Indent 2"/>
    <w:basedOn w:val="3"/>
    <w:next w:val="1"/>
    <w:link w:val="25"/>
    <w:autoRedefine/>
    <w:qFormat/>
    <w:uiPriority w:val="99"/>
    <w:pPr>
      <w:ind w:firstLine="420"/>
    </w:pPr>
  </w:style>
  <w:style w:type="paragraph" w:styleId="3">
    <w:name w:val="Body Text Indent"/>
    <w:basedOn w:val="1"/>
    <w:next w:val="4"/>
    <w:link w:val="20"/>
    <w:autoRedefine/>
    <w:qFormat/>
    <w:uiPriority w:val="99"/>
    <w:pPr>
      <w:ind w:firstLine="600"/>
    </w:pPr>
    <w:rPr>
      <w:sz w:val="30"/>
    </w:rPr>
  </w:style>
  <w:style w:type="paragraph" w:styleId="4">
    <w:name w:val="envelope return"/>
    <w:basedOn w:val="1"/>
    <w:autoRedefine/>
    <w:qFormat/>
    <w:locked/>
    <w:uiPriority w:val="99"/>
    <w:pPr>
      <w:snapToGrid w:val="0"/>
    </w:pPr>
    <w:rPr>
      <w:rFonts w:ascii="Arial" w:hAnsi="Arial" w:eastAsia="宋体" w:cs="Arial"/>
      <w:sz w:val="21"/>
      <w:szCs w:val="21"/>
    </w:rPr>
  </w:style>
  <w:style w:type="paragraph" w:styleId="6">
    <w:name w:val="Body Text"/>
    <w:basedOn w:val="1"/>
    <w:next w:val="1"/>
    <w:link w:val="19"/>
    <w:autoRedefine/>
    <w:qFormat/>
    <w:uiPriority w:val="99"/>
    <w:rPr>
      <w:sz w:val="24"/>
    </w:rPr>
  </w:style>
  <w:style w:type="paragraph" w:styleId="7">
    <w:name w:val="Date"/>
    <w:basedOn w:val="1"/>
    <w:next w:val="1"/>
    <w:link w:val="21"/>
    <w:autoRedefine/>
    <w:qFormat/>
    <w:uiPriority w:val="99"/>
    <w:pPr>
      <w:ind w:left="100" w:leftChars="2500"/>
    </w:pPr>
  </w:style>
  <w:style w:type="paragraph" w:styleId="8">
    <w:name w:val="footer"/>
    <w:basedOn w:val="1"/>
    <w:link w:val="22"/>
    <w:autoRedefine/>
    <w:qFormat/>
    <w:uiPriority w:val="99"/>
    <w:pPr>
      <w:tabs>
        <w:tab w:val="center" w:pos="4153"/>
        <w:tab w:val="right" w:pos="8306"/>
      </w:tabs>
      <w:snapToGrid w:val="0"/>
      <w:jc w:val="left"/>
    </w:pPr>
    <w:rPr>
      <w:sz w:val="18"/>
      <w:szCs w:val="18"/>
    </w:rPr>
  </w:style>
  <w:style w:type="paragraph" w:styleId="9">
    <w:name w:val="header"/>
    <w:basedOn w:val="1"/>
    <w:link w:val="23"/>
    <w:autoRedefine/>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2"/>
    <w:basedOn w:val="1"/>
    <w:next w:val="1"/>
    <w:link w:val="18"/>
    <w:autoRedefine/>
    <w:qFormat/>
    <w:uiPriority w:val="99"/>
    <w:pPr>
      <w:spacing w:after="120" w:line="480" w:lineRule="auto"/>
    </w:pPr>
  </w:style>
  <w:style w:type="paragraph" w:styleId="11">
    <w:name w:val="Body Text First Indent"/>
    <w:basedOn w:val="1"/>
    <w:link w:val="24"/>
    <w:autoRedefine/>
    <w:qFormat/>
    <w:uiPriority w:val="99"/>
    <w:pPr>
      <w:ind w:firstLine="420" w:firstLineChars="100"/>
    </w:pPr>
  </w:style>
  <w:style w:type="table" w:styleId="13">
    <w:name w:val="Table Grid"/>
    <w:basedOn w:val="12"/>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autoRedefine/>
    <w:qFormat/>
    <w:uiPriority w:val="99"/>
    <w:rPr>
      <w:rFonts w:cs="Times New Roman"/>
    </w:rPr>
  </w:style>
  <w:style w:type="paragraph" w:customStyle="1" w:styleId="16">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17">
    <w:name w:val="标题 4 字符"/>
    <w:link w:val="5"/>
    <w:autoRedefine/>
    <w:semiHidden/>
    <w:qFormat/>
    <w:locked/>
    <w:uiPriority w:val="99"/>
    <w:rPr>
      <w:rFonts w:ascii="Cambria" w:hAnsi="Cambria" w:eastAsia="宋体" w:cs="Times New Roman"/>
      <w:b/>
      <w:bCs/>
      <w:kern w:val="2"/>
      <w:sz w:val="28"/>
      <w:szCs w:val="28"/>
    </w:rPr>
  </w:style>
  <w:style w:type="character" w:customStyle="1" w:styleId="18">
    <w:name w:val="正文文本 2 字符"/>
    <w:link w:val="10"/>
    <w:autoRedefine/>
    <w:semiHidden/>
    <w:qFormat/>
    <w:locked/>
    <w:uiPriority w:val="99"/>
    <w:rPr>
      <w:rFonts w:cs="Times New Roman"/>
      <w:kern w:val="2"/>
      <w:sz w:val="24"/>
      <w:szCs w:val="24"/>
    </w:rPr>
  </w:style>
  <w:style w:type="character" w:customStyle="1" w:styleId="19">
    <w:name w:val="正文文本 字符"/>
    <w:link w:val="6"/>
    <w:autoRedefine/>
    <w:semiHidden/>
    <w:qFormat/>
    <w:locked/>
    <w:uiPriority w:val="99"/>
    <w:rPr>
      <w:rFonts w:cs="Times New Roman"/>
      <w:kern w:val="2"/>
      <w:sz w:val="24"/>
      <w:szCs w:val="24"/>
    </w:rPr>
  </w:style>
  <w:style w:type="character" w:customStyle="1" w:styleId="20">
    <w:name w:val="正文文本缩进 字符"/>
    <w:link w:val="3"/>
    <w:autoRedefine/>
    <w:semiHidden/>
    <w:qFormat/>
    <w:locked/>
    <w:uiPriority w:val="99"/>
    <w:rPr>
      <w:rFonts w:cs="Times New Roman"/>
      <w:kern w:val="2"/>
      <w:sz w:val="24"/>
      <w:szCs w:val="24"/>
    </w:rPr>
  </w:style>
  <w:style w:type="character" w:customStyle="1" w:styleId="21">
    <w:name w:val="日期 字符"/>
    <w:link w:val="7"/>
    <w:autoRedefine/>
    <w:semiHidden/>
    <w:qFormat/>
    <w:locked/>
    <w:uiPriority w:val="99"/>
    <w:rPr>
      <w:rFonts w:cs="Times New Roman"/>
      <w:kern w:val="2"/>
      <w:sz w:val="24"/>
      <w:szCs w:val="24"/>
    </w:rPr>
  </w:style>
  <w:style w:type="character" w:customStyle="1" w:styleId="22">
    <w:name w:val="页脚 字符"/>
    <w:link w:val="8"/>
    <w:autoRedefine/>
    <w:semiHidden/>
    <w:qFormat/>
    <w:locked/>
    <w:uiPriority w:val="99"/>
    <w:rPr>
      <w:rFonts w:cs="Times New Roman"/>
      <w:kern w:val="2"/>
      <w:sz w:val="18"/>
      <w:szCs w:val="18"/>
    </w:rPr>
  </w:style>
  <w:style w:type="character" w:customStyle="1" w:styleId="23">
    <w:name w:val="页眉 字符"/>
    <w:link w:val="9"/>
    <w:autoRedefine/>
    <w:semiHidden/>
    <w:qFormat/>
    <w:locked/>
    <w:uiPriority w:val="99"/>
    <w:rPr>
      <w:rFonts w:cs="Times New Roman"/>
      <w:kern w:val="2"/>
      <w:sz w:val="18"/>
      <w:szCs w:val="18"/>
    </w:rPr>
  </w:style>
  <w:style w:type="character" w:customStyle="1" w:styleId="24">
    <w:name w:val="正文文本首行缩进 字符"/>
    <w:link w:val="11"/>
    <w:autoRedefine/>
    <w:semiHidden/>
    <w:qFormat/>
    <w:locked/>
    <w:uiPriority w:val="99"/>
    <w:rPr>
      <w:rFonts w:cs="Times New Roman"/>
      <w:kern w:val="2"/>
      <w:sz w:val="24"/>
      <w:szCs w:val="24"/>
    </w:rPr>
  </w:style>
  <w:style w:type="character" w:customStyle="1" w:styleId="25">
    <w:name w:val="正文文本首行缩进 2 字符"/>
    <w:link w:val="2"/>
    <w:autoRedefine/>
    <w:semiHidden/>
    <w:qFormat/>
    <w:locked/>
    <w:uiPriority w:val="99"/>
    <w:rPr>
      <w:rFonts w:cs="Times New Roman"/>
      <w:kern w:val="2"/>
      <w:sz w:val="24"/>
      <w:szCs w:val="24"/>
    </w:rPr>
  </w:style>
  <w:style w:type="character" w:customStyle="1" w:styleId="26">
    <w:name w:val="apple-converted-space"/>
    <w:autoRedefine/>
    <w:qFormat/>
    <w:uiPriority w:val="99"/>
    <w:rPr>
      <w:rFonts w:cs="Times New Roman"/>
    </w:rPr>
  </w:style>
  <w:style w:type="paragraph" w:customStyle="1" w:styleId="27">
    <w:name w:val="Char"/>
    <w:basedOn w:val="1"/>
    <w:autoRedefine/>
    <w:qFormat/>
    <w:uiPriority w:val="99"/>
  </w:style>
  <w:style w:type="paragraph" w:customStyle="1" w:styleId="28">
    <w:name w:val="Char Char Char1 Char"/>
    <w:basedOn w:val="1"/>
    <w:autoRedefine/>
    <w:qFormat/>
    <w:uiPriority w:val="99"/>
  </w:style>
  <w:style w:type="paragraph" w:customStyle="1" w:styleId="29">
    <w:name w:val="1正文段落"/>
    <w:basedOn w:val="1"/>
    <w:autoRedefine/>
    <w:qFormat/>
    <w:uiPriority w:val="99"/>
    <w:pPr>
      <w:spacing w:line="360" w:lineRule="auto"/>
      <w:ind w:firstLine="480" w:firstLineChars="200"/>
      <w:jc w:val="left"/>
    </w:pPr>
    <w:rPr>
      <w:kern w:val="0"/>
      <w:sz w:val="24"/>
    </w:rPr>
  </w:style>
  <w:style w:type="paragraph" w:customStyle="1" w:styleId="30">
    <w:name w:val="dandan6-13正文 Char Char Char"/>
    <w:basedOn w:val="1"/>
    <w:next w:val="1"/>
    <w:autoRedefine/>
    <w:qFormat/>
    <w:uiPriority w:val="0"/>
    <w:pPr>
      <w:keepNext/>
      <w:keepLines/>
      <w:widowControl/>
      <w:adjustRightInd w:val="0"/>
      <w:spacing w:before="40" w:after="40" w:line="360" w:lineRule="auto"/>
      <w:ind w:firstLine="200" w:firstLineChars="200"/>
      <w:textAlignment w:val="baseline"/>
    </w:pPr>
    <w:rPr>
      <w:rFonts w:cs="宋体"/>
      <w:kern w:val="0"/>
      <w:sz w:val="24"/>
      <w:szCs w:val="28"/>
    </w:rPr>
  </w:style>
  <w:style w:type="paragraph" w:customStyle="1" w:styleId="31">
    <w:name w:val="_Style 2"/>
    <w:basedOn w:val="1"/>
    <w:autoRedefine/>
    <w:qFormat/>
    <w:uiPriority w:val="99"/>
    <w:pPr>
      <w:spacing w:line="351" w:lineRule="atLeast"/>
      <w:ind w:firstLine="623"/>
      <w:textAlignment w:val="baseline"/>
    </w:pPr>
    <w:rPr>
      <w:rFonts w:ascii="Times New Roman" w:hAnsi="Times New Roman" w:eastAsia="仿宋_GB2312" w:cs="Times New Roman"/>
      <w:color w:val="000000"/>
      <w:sz w:val="31"/>
      <w:szCs w:val="3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1219</Words>
  <Characters>1303</Characters>
  <Lines>7</Lines>
  <Paragraphs>2</Paragraphs>
  <TotalTime>1</TotalTime>
  <ScaleCrop>false</ScaleCrop>
  <LinksUpToDate>false</LinksUpToDate>
  <CharactersWithSpaces>6092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2022-03-07T08:39:00Z</dcterms:created>
  <dc:creator>zf</dc:creator>
  <cp:lastModifiedBy>三生万物</cp:lastModifiedBy>
  <cp:lastPrinted>2024-04-03T03:58:00Z</cp:lastPrinted>
  <dcterms:modified xsi:type="dcterms:W3CDTF">2024-04-16T01:36:21Z</dcterms:modified>
  <dc:title>金环管[2012]13号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5484AEFA7DB44E3090222BE0A95F738A</vt:lpwstr>
  </property>
  <property fmtid="{D5CDD505-2E9C-101B-9397-08002B2CF9AE}" pid="4" name="commondata">
    <vt:lpwstr>eyJoZGlkIjoiNjcwMDA0NzFiMGFjNmYzMjdjMDNiMDNkMWVmMDFjZTEifQ==</vt:lpwstr>
  </property>
</Properties>
</file>