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年洪涝灾害救灾补助资金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发放工作方案》的通知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双政办〔</w:t>
      </w:r>
      <w:r>
        <w:rPr>
          <w:rFonts w:hint="default" w:ascii="Times New Roman" w:hAnsi="Times New Roman" w:eastAsia="方正仿宋_GBK" w:cs="Times New Roman"/>
        </w:rPr>
        <w:t>2023</w:t>
      </w:r>
      <w:r>
        <w:rPr>
          <w:rFonts w:hint="eastAsia" w:ascii="方正仿宋_GBK" w:hAnsi="方正仿宋_GBK" w:eastAsia="方正仿宋_GBK" w:cs="方正仿宋_GBK"/>
        </w:rPr>
        <w:t>〕</w:t>
      </w:r>
      <w:r>
        <w:rPr>
          <w:rFonts w:hint="default" w:ascii="Times New Roman" w:hAnsi="Times New Roman" w:eastAsia="方正仿宋_GBK" w:cs="Times New Roman"/>
        </w:rPr>
        <w:t>75</w:t>
      </w:r>
      <w:r>
        <w:rPr>
          <w:rFonts w:hint="eastAsia" w:ascii="方正仿宋_GBK" w:hAnsi="方正仿宋_GBK" w:eastAsia="方正仿宋_GBK" w:cs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各村（街）：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根据县应急局、财政局《关于预拨</w:t>
      </w:r>
      <w:r>
        <w:rPr>
          <w:rFonts w:hint="default" w:ascii="Times New Roman" w:hAnsi="Times New Roman" w:eastAsia="方正仿宋_GBK" w:cs="Times New Roman"/>
        </w:rPr>
        <w:t>2023</w:t>
      </w:r>
      <w:r>
        <w:rPr>
          <w:rFonts w:hint="eastAsia" w:ascii="方正仿宋_GBK" w:hAnsi="方正仿宋_GBK" w:eastAsia="方正仿宋_GBK" w:cs="方正仿宋_GBK"/>
        </w:rPr>
        <w:t>年省级自然灾害救灾资金（洪涝灾害救灾补助）的通知》（金应急〔</w:t>
      </w:r>
      <w:r>
        <w:rPr>
          <w:rFonts w:hint="default" w:ascii="Times New Roman" w:hAnsi="Times New Roman" w:eastAsia="方正仿宋_GBK" w:cs="Times New Roman"/>
        </w:rPr>
        <w:t>2023</w:t>
      </w:r>
      <w:r>
        <w:rPr>
          <w:rFonts w:hint="eastAsia" w:ascii="方正仿宋_GBK" w:hAnsi="方正仿宋_GBK" w:eastAsia="方正仿宋_GBK" w:cs="方正仿宋_GBK"/>
        </w:rPr>
        <w:t>〕</w:t>
      </w:r>
      <w:r>
        <w:rPr>
          <w:rFonts w:hint="default" w:ascii="Times New Roman" w:hAnsi="Times New Roman" w:eastAsia="方正仿宋_GBK" w:cs="Times New Roman"/>
        </w:rPr>
        <w:t>28</w:t>
      </w:r>
      <w:r>
        <w:rPr>
          <w:rFonts w:hint="eastAsia" w:ascii="方正仿宋_GBK" w:hAnsi="方正仿宋_GBK" w:eastAsia="方正仿宋_GBK" w:cs="方正仿宋_GBK"/>
        </w:rPr>
        <w:t>号）文件，预拨我镇</w:t>
      </w:r>
      <w:r>
        <w:rPr>
          <w:rFonts w:hint="default" w:ascii="Times New Roman" w:hAnsi="Times New Roman" w:eastAsia="方正仿宋_GBK" w:cs="Times New Roman"/>
        </w:rPr>
        <w:t>2023</w:t>
      </w:r>
      <w:r>
        <w:rPr>
          <w:rFonts w:hint="eastAsia" w:ascii="方正仿宋_GBK" w:hAnsi="方正仿宋_GBK" w:eastAsia="方正仿宋_GBK" w:cs="方正仿宋_GBK"/>
        </w:rPr>
        <w:t>年省级自然灾害救灾资金(洪涝灾害救灾补助)</w:t>
      </w:r>
      <w:r>
        <w:rPr>
          <w:rFonts w:hint="default" w:ascii="Times New Roman" w:hAnsi="Times New Roman" w:eastAsia="方正仿宋_GBK" w:cs="Times New Roman"/>
        </w:rPr>
        <w:t>5</w:t>
      </w:r>
      <w:r>
        <w:rPr>
          <w:rFonts w:hint="eastAsia" w:ascii="方正仿宋_GBK" w:hAnsi="方正仿宋_GBK" w:eastAsia="方正仿宋_GBK" w:cs="方正仿宋_GBK"/>
        </w:rPr>
        <w:t>万元。经镇党委政府研究决定，该</w:t>
      </w:r>
      <w:r>
        <w:rPr>
          <w:rFonts w:hint="default" w:ascii="Times New Roman" w:hAnsi="Times New Roman" w:eastAsia="方正仿宋_GBK" w:cs="Times New Roman"/>
        </w:rPr>
        <w:t>5</w:t>
      </w:r>
      <w:r>
        <w:rPr>
          <w:rFonts w:hint="eastAsia" w:ascii="方正仿宋_GBK" w:hAnsi="方正仿宋_GBK" w:eastAsia="方正仿宋_GBK" w:cs="方正仿宋_GBK"/>
        </w:rPr>
        <w:t>万元用于救助本次洪涝灾害受灾群众。现将《</w:t>
      </w:r>
      <w:r>
        <w:rPr>
          <w:rFonts w:hint="default" w:ascii="Times New Roman" w:hAnsi="Times New Roman" w:eastAsia="方正仿宋_GBK" w:cs="Times New Roman"/>
        </w:rPr>
        <w:t>2023</w:t>
      </w:r>
      <w:r>
        <w:rPr>
          <w:rFonts w:hint="eastAsia" w:ascii="方正仿宋_GBK" w:hAnsi="方正仿宋_GBK" w:eastAsia="方正仿宋_GBK" w:cs="方正仿宋_GBK"/>
        </w:rPr>
        <w:t>年洪涝灾害救灾补助资金发放工作方案》印发给你们，请各村（街）按照方案要求抓紧时间做好此次洪涝灾害救助资金发放工作，确保在</w:t>
      </w:r>
      <w:r>
        <w:rPr>
          <w:rFonts w:hint="default" w:ascii="Times New Roman" w:hAnsi="Times New Roman" w:eastAsia="方正仿宋_GBK" w:cs="Times New Roman"/>
        </w:rPr>
        <w:t>8</w:t>
      </w:r>
      <w:r>
        <w:rPr>
          <w:rFonts w:hint="eastAsia" w:ascii="方正仿宋_GBK" w:hAnsi="方正仿宋_GBK" w:eastAsia="方正仿宋_GBK" w:cs="方正仿宋_GBK"/>
        </w:rPr>
        <w:t>月底将救助资金打卡发放到位。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08" w:rightChars="200"/>
        <w:jc w:val="righ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金寨县</w:t>
      </w:r>
      <w:r>
        <w:rPr>
          <w:rFonts w:hint="eastAsia" w:ascii="方正仿宋_GBK" w:hAnsi="方正仿宋_GBK" w:eastAsia="方正仿宋_GBK" w:cs="方正仿宋_GBK"/>
          <w:lang w:eastAsia="zh-CN"/>
        </w:rPr>
        <w:t>双河镇人民政府办公室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608" w:rightChars="200"/>
        <w:jc w:val="right"/>
        <w:textAlignment w:val="auto"/>
        <w:rPr>
          <w:rFonts w:hint="default" w:ascii="仿宋_GB2312" w:hAnsi="宋体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default" w:ascii="Times New Roman" w:hAnsi="Times New Roman" w:eastAsia="方正仿宋_GBK" w:cs="Times New Roman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default" w:ascii="Times New Roman" w:hAnsi="Times New Roman" w:eastAsia="方正仿宋_GBK" w:cs="Times New Roman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</w:rPr>
        <w:t>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8" w:firstLineChars="200"/>
        <w:textAlignment w:val="auto"/>
        <w:rPr>
          <w:rFonts w:ascii="仿宋_GB2312" w:hAnsi="宋体" w:cs="Times New Roman"/>
        </w:rPr>
      </w:pPr>
      <w:r>
        <w:rPr>
          <w:rFonts w:ascii="仿宋_GB2312" w:hAnsi="宋体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年洪涝灾害救灾补助资金发放工作方案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坚持“分类救助、重点救助”和“专款专用”的原则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，增强人民群众获得感、幸福感和安全感，维护社会和谐稳定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资金发放对象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年洪涝灾害救灾补助资金发放对象为前期各村上报的《洪涝灾害统计表》中的受灾人口并根据各村上报的受灾人口数量将救灾资金进行分配。为保障受灾群众充分得到帮助，享受此次洪涝灾害资金补助的户不再享受冬春救助资金补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资金发放标准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各村可根据受灾户类型、受灾情况等因素民主评议资金，每户按照不低于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元且不高于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元的标准进行补助。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资金发放程序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实施救助对象必须为受灾户且建立灾情台账。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民主评议。由村民委员会组织召开村（居）民大会或村民代表会议，结合镇下拨的资金总量、受灾人员困难程度、需救助人数等因素，民主评议救助对象救助标准，并在村公示栏进行公示七个工作日。公示结束后，救助花名册报镇政府审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.镇审核。镇政府对各村上报的《洪涝灾害救灾补助资金打卡发放花名册》进行审核，并根据救助标准、核定救助对象和金额后，将审核无误的《洪涝灾害救灾补助资金打卡发放花名册》公示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.资金发放。公示期满无异议后，由镇财政所将救助资金打卡发放完毕。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提高思想认识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各村（街）一定要在思想上高度重视，在工作上抓紧抓细，认真组织实施，按照时间节点，切实把此次洪涝灾害救助工作抓好落实。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8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二要严格发放程序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按照“有方案、有标准、有程序、有台账”的要求，资金发放过程要做到公开透明，手续完备（各村要做好民主评议会议记录、开会照片、公示照片、灾情台账、打卡花名册的留存）。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8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三要加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强监督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管理。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镇、村要逐级建立洪涝灾害救助工作台账，保存资金分配、村评议、公示等相关资料，建立完善救助档案。要积极配合县财政、纪委、审计等部门适时开展监督检查，主动公开相关信息，自觉接受社会公众和新闻媒体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8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四要按时完成任务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请各村于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日前将《洪涝灾害救灾补助资金打卡发放花名册》上报镇应急管理所，纸质版经村书记（驻村班子成员）、盖章后报送至镇应急管理所，联系人：冯吉，电话：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7751200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附件：双河镇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年洪涝灾害救灾补助资金分配表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双河镇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年洪涝灾害救灾补助资金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分配表</w:t>
      </w:r>
    </w:p>
    <w:tbl>
      <w:tblPr>
        <w:tblStyle w:val="6"/>
        <w:tblpPr w:leftFromText="180" w:rightFromText="180" w:vertAnchor="text" w:horzAnchor="page" w:tblpX="2103" w:tblpY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533"/>
        <w:gridCol w:w="197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受灾人口数量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双河村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街道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2900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河西村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河东村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九房村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313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14700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九龙村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皮坊村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大桥村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4900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鹤塘村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黄龙村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183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8600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大畈村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239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11200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1068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50000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sectPr>
      <w:footerReference r:id="rId3" w:type="default"/>
      <w:footerReference r:id="rId4" w:type="even"/>
      <w:pgSz w:w="11907" w:h="16840"/>
      <w:pgMar w:top="2041" w:right="1701" w:bottom="2041" w:left="1701" w:header="935" w:footer="1531" w:gutter="0"/>
      <w:cols w:space="720" w:num="1"/>
      <w:docGrid w:type="linesAndChars" w:linePitch="56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Style w:val="7"/>
      </w:rPr>
    </w:pPr>
    <w:r>
      <w:rPr>
        <w:rFonts w:ascii="Times New Roman" w:hAnsi="Times New Roman" w:cs="Times New Roman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sz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UnJ91wAAAAk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仿宋" w:cs="Times New Roman"/>
        <w:sz w:val="32"/>
        <w:szCs w:val="48"/>
      </w:rPr>
      <w:t xml:space="preserve">  </w:t>
    </w:r>
  </w:p>
  <w:p>
    <w:pPr>
      <w:pStyle w:val="3"/>
      <w:ind w:right="360" w:firstLine="360"/>
      <w:jc w:val="right"/>
      <w:rPr>
        <w:rFonts w:hint="eastAsia" w:ascii="Times New Roman" w:hAnsi="Times New Roman" w:eastAsia="仿宋" w:cs="Times New Roman"/>
        <w:color w:val="FAFAFA"/>
        <w:sz w:val="32"/>
        <w:szCs w:val="48"/>
      </w:rPr>
    </w:pPr>
    <w:r>
      <w:rPr>
        <w:rFonts w:hint="eastAsia" w:ascii="Times New Roman" w:hAnsi="Times New Roman" w:eastAsia="仿宋" w:cs="Times New Roman"/>
        <w:color w:val="FAFAFA"/>
        <w:sz w:val="32"/>
        <w:szCs w:val="48"/>
      </w:rPr>
      <w:t>.X</w:t>
    </w:r>
  </w:p>
  <w:p>
    <w:pPr>
      <w:pStyle w:val="3"/>
      <w:ind w:right="360" w:firstLine="360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8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end"/>
    </w:r>
  </w:p>
  <w:p>
    <w:pPr>
      <w:pStyle w:val="3"/>
      <w:ind w:right="360" w:firstLine="360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0F970"/>
    <w:multiLevelType w:val="singleLevel"/>
    <w:tmpl w:val="B6C0F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FhZjA4MTJkNzM3YWUyZTExMzg1MDM3ZDhmNWIifQ=="/>
  </w:docVars>
  <w:rsids>
    <w:rsidRoot w:val="6CE26C88"/>
    <w:rsid w:val="24D554B6"/>
    <w:rsid w:val="37593263"/>
    <w:rsid w:val="42E052F1"/>
    <w:rsid w:val="4DFF4536"/>
    <w:rsid w:val="4E026FB2"/>
    <w:rsid w:val="521A70FF"/>
    <w:rsid w:val="5224174A"/>
    <w:rsid w:val="54024463"/>
    <w:rsid w:val="6CE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4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2023-08-28T00:39:00Z</dcterms:created>
  <dc:creator>洛冥</dc:creator>
  <cp:lastModifiedBy>ggg</cp:lastModifiedBy>
  <dcterms:modified xsi:type="dcterms:W3CDTF">2024-06-03T07:45:54Z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EA2E59A543B54A4EA88F869108C05606_13</vt:lpwstr>
  </property>
</Properties>
</file>