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_GBK" w:hAnsi="方正小标宋简体" w:eastAsia="方正小标宋_GBK"/>
          <w:color w:val="000000"/>
          <w:kern w:val="0"/>
          <w:sz w:val="44"/>
          <w:szCs w:val="44"/>
        </w:rPr>
      </w:pPr>
      <w:bookmarkStart w:id="0" w:name="OLE_LINK1"/>
      <w:r>
        <w:rPr>
          <w:rFonts w:hint="eastAsia" w:ascii="方正小标宋_GBK" w:hAnsi="方正小标宋简体" w:eastAsia="方正小标宋_GBK"/>
          <w:color w:val="000000"/>
          <w:kern w:val="0"/>
          <w:sz w:val="44"/>
          <w:szCs w:val="44"/>
        </w:rPr>
        <w:t>金寨县桃岭乡人民政府</w:t>
      </w:r>
      <w:r>
        <w:rPr>
          <w:rFonts w:ascii="Times New Roman" w:eastAsia="方正小标宋_GBK"/>
          <w:color w:val="000000"/>
          <w:kern w:val="0"/>
          <w:sz w:val="44"/>
          <w:szCs w:val="44"/>
        </w:rPr>
        <w:t>202</w:t>
      </w:r>
      <w:r>
        <w:rPr>
          <w:rFonts w:hint="eastAsia" w:ascii="Times New Roman" w:eastAsia="方正小标宋_GBK"/>
          <w:color w:val="000000"/>
          <w:kern w:val="0"/>
          <w:sz w:val="44"/>
          <w:szCs w:val="44"/>
          <w:lang w:val="en-US" w:eastAsia="zh-CN"/>
        </w:rPr>
        <w:t>1</w:t>
      </w:r>
      <w:r>
        <w:rPr>
          <w:rFonts w:hint="eastAsia" w:ascii="方正小标宋_GBK" w:hAnsi="方正小标宋简体" w:eastAsia="方正小标宋_GBK"/>
          <w:color w:val="000000"/>
          <w:kern w:val="0"/>
          <w:sz w:val="44"/>
          <w:szCs w:val="44"/>
        </w:rPr>
        <w:t>年政府信息</w:t>
      </w:r>
    </w:p>
    <w:p>
      <w:pPr>
        <w:widowControl/>
        <w:shd w:val="clear" w:color="auto" w:fill="FFFFFF"/>
        <w:spacing w:line="560" w:lineRule="exact"/>
        <w:jc w:val="center"/>
        <w:rPr>
          <w:rFonts w:ascii="方正小标宋_GBK" w:hAnsi="方正小标宋简体" w:eastAsia="方正小标宋_GBK"/>
          <w:color w:val="000000"/>
          <w:kern w:val="0"/>
          <w:sz w:val="44"/>
          <w:szCs w:val="44"/>
        </w:rPr>
      </w:pPr>
      <w:r>
        <w:rPr>
          <w:rFonts w:hint="eastAsia" w:ascii="方正小标宋_GBK" w:hAnsi="方正小标宋简体" w:eastAsia="方正小标宋_GBK"/>
          <w:color w:val="000000"/>
          <w:kern w:val="0"/>
          <w:sz w:val="44"/>
          <w:szCs w:val="44"/>
        </w:rPr>
        <w:t>公开工作年度报告</w:t>
      </w:r>
    </w:p>
    <w:p>
      <w:pPr>
        <w:widowControl/>
        <w:shd w:val="clear" w:color="auto" w:fill="FFFFFF"/>
        <w:ind w:firstLine="480"/>
        <w:rPr>
          <w:rFonts w:ascii="Times New Roman" w:eastAsia="方正仿宋_GBK"/>
          <w:color w:val="000000"/>
          <w:kern w:val="0"/>
          <w:sz w:val="24"/>
        </w:rPr>
      </w:pP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shd w:val="clear" w:fill="FFFFFF"/>
        </w:rPr>
        <w:t>本报告依据《中华人民共和国政府信息公开条例》（国务院令第711号，以下简称新《条例》）、《六安市政务公开办公室关于做好政府信息公开年度报告编制和发布工作的通知》（六政务公开办〔2021〕64号）和《金寨县政务公开办公室关于做好政府信息公开年度报告编制和发布工作的通知》（金政公开〔2021〕28号）文件要求编制而成。报告主要包括：总体情况、行政机关主动公开政府信息情况、收到和处理政府信息公开申请情况、政府信息公开行政复议及行政诉讼情况、政府信息公开工作存在的主要问题及改进情况和其他需要报告的事项。本报告中使用数据统计期限为2021年1月1日至12月31日，报告</w:t>
      </w:r>
      <w:r>
        <w:rPr>
          <w:rFonts w:hint="eastAsia" w:ascii="仿宋" w:hAnsi="仿宋" w:eastAsia="仿宋" w:cs="仿宋"/>
          <w:i w:val="0"/>
          <w:iCs w:val="0"/>
          <w:caps w:val="0"/>
          <w:color w:val="000000"/>
          <w:spacing w:val="30"/>
          <w:sz w:val="32"/>
          <w:szCs w:val="32"/>
          <w:shd w:val="clear" w:fill="FFFFFF"/>
        </w:rPr>
        <w:t>的电子版可在金寨县信息公开网下载。（网址：</w:t>
      </w:r>
      <w:r>
        <w:rPr>
          <w:rFonts w:hint="eastAsia" w:ascii="仿宋" w:hAnsi="仿宋" w:eastAsia="仿宋" w:cs="仿宋"/>
          <w:i w:val="0"/>
          <w:iCs w:val="0"/>
          <w:caps w:val="0"/>
          <w:color w:val="000000"/>
          <w:spacing w:val="0"/>
          <w:sz w:val="32"/>
          <w:szCs w:val="32"/>
          <w:shd w:val="clear" w:fill="FFFFFF"/>
        </w:rPr>
        <w:t>https://www.ahjinzhai.gov.cn/public/column/6597201?type=3&amp;action=detail&amp;nav=3&amp;title=2021）如对本报告有任何疑问，请与桃岭乡人民政府办公室联系（地址：桃岭乡人民政府一楼，电话：0564--7766001，邮编：237381）。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ascii="黑体" w:hAnsi="宋体" w:eastAsia="黑体" w:cs="黑体"/>
          <w:i w:val="0"/>
          <w:iCs w:val="0"/>
          <w:caps w:val="0"/>
          <w:color w:val="000000"/>
          <w:spacing w:val="0"/>
          <w:sz w:val="32"/>
          <w:szCs w:val="32"/>
          <w:shd w:val="clear" w:fill="FFFFFF"/>
        </w:rPr>
        <w:t>一、总体情况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仿宋" w:hAnsi="仿宋" w:eastAsia="仿宋" w:cs="仿宋"/>
          <w:i w:val="0"/>
          <w:iCs w:val="0"/>
          <w:caps w:val="0"/>
          <w:color w:val="333333"/>
          <w:spacing w:val="0"/>
          <w:sz w:val="32"/>
          <w:szCs w:val="32"/>
        </w:rPr>
      </w:pPr>
      <w:r>
        <w:rPr>
          <w:rFonts w:ascii="楷体" w:hAnsi="楷体" w:eastAsia="楷体" w:cs="楷体"/>
          <w:b/>
          <w:bCs/>
          <w:i w:val="0"/>
          <w:iCs w:val="0"/>
          <w:caps w:val="0"/>
          <w:color w:val="000000"/>
          <w:spacing w:val="0"/>
          <w:sz w:val="32"/>
          <w:szCs w:val="32"/>
          <w:shd w:val="clear" w:fill="FFFFFF"/>
        </w:rPr>
        <w:t>（一）主动公开情况。</w:t>
      </w:r>
      <w:r>
        <w:rPr>
          <w:rFonts w:hint="eastAsia" w:ascii="仿宋" w:hAnsi="仿宋" w:eastAsia="仿宋" w:cs="仿宋"/>
          <w:i w:val="0"/>
          <w:iCs w:val="0"/>
          <w:caps w:val="0"/>
          <w:color w:val="000000"/>
          <w:spacing w:val="0"/>
          <w:sz w:val="32"/>
          <w:szCs w:val="32"/>
          <w:shd w:val="clear" w:fill="FFFFFF"/>
        </w:rPr>
        <w:t>金寨县桃岭乡人民政府认真贯彻《条例》，进一步明确主动公开范围，规范政府信息发布流程。推进决策、执行、管理、服务和结果全过程公开，推动工作落实，集中展示信息。2021年按照上级统一部署，积极做好政府信息公开，在政府信息公开网站，主动发布信息共计840条，两化领域更新2047条。其中财政专项资金563条，政策解读15条，回应关切25条，疫情防控23条，规划信息11条。此外严格按照标准，同步开展村务公开延伸试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1"/>
        <w:jc w:val="both"/>
        <w:rPr>
          <w:rFonts w:hint="eastAsia" w:ascii="仿宋" w:hAnsi="仿宋" w:eastAsia="仿宋" w:cs="仿宋"/>
          <w:i w:val="0"/>
          <w:iCs w:val="0"/>
          <w:caps w:val="0"/>
          <w:color w:val="333333"/>
          <w:spacing w:val="0"/>
          <w:sz w:val="32"/>
          <w:szCs w:val="32"/>
        </w:rPr>
      </w:pPr>
      <w:r>
        <w:rPr>
          <w:rFonts w:hint="eastAsia" w:ascii="楷体" w:hAnsi="楷体" w:eastAsia="楷体" w:cs="楷体"/>
          <w:b/>
          <w:bCs/>
          <w:i w:val="0"/>
          <w:iCs w:val="0"/>
          <w:caps w:val="0"/>
          <w:color w:val="000000"/>
          <w:spacing w:val="0"/>
          <w:sz w:val="32"/>
          <w:szCs w:val="32"/>
          <w:shd w:val="clear" w:fill="FFFFFF"/>
        </w:rPr>
        <w:t>（二）依申请公开。</w:t>
      </w:r>
      <w:r>
        <w:rPr>
          <w:rFonts w:hint="eastAsia" w:ascii="仿宋" w:hAnsi="仿宋" w:eastAsia="仿宋" w:cs="仿宋"/>
          <w:i w:val="0"/>
          <w:iCs w:val="0"/>
          <w:caps w:val="0"/>
          <w:color w:val="000000"/>
          <w:spacing w:val="0"/>
          <w:sz w:val="32"/>
          <w:szCs w:val="32"/>
          <w:shd w:val="clear" w:fill="FFFFFF"/>
        </w:rPr>
        <w:t>建立健全政府信息公开申请登记、审核、办理、答复、归档的工作制度，修订政府信息公开指南，逐一列示信息公开申请渠道。2021年，桃岭乡未收到依申请公开信息。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1"/>
        <w:jc w:val="both"/>
        <w:rPr>
          <w:rFonts w:hint="eastAsia" w:ascii="仿宋" w:hAnsi="仿宋" w:eastAsia="仿宋" w:cs="仿宋"/>
          <w:i w:val="0"/>
          <w:iCs w:val="0"/>
          <w:caps w:val="0"/>
          <w:color w:val="333333"/>
          <w:spacing w:val="0"/>
          <w:sz w:val="32"/>
          <w:szCs w:val="32"/>
        </w:rPr>
      </w:pPr>
      <w:r>
        <w:rPr>
          <w:rFonts w:hint="eastAsia" w:ascii="楷体" w:hAnsi="楷体" w:eastAsia="楷体" w:cs="楷体"/>
          <w:b/>
          <w:bCs/>
          <w:i w:val="0"/>
          <w:iCs w:val="0"/>
          <w:caps w:val="0"/>
          <w:color w:val="000000"/>
          <w:spacing w:val="0"/>
          <w:sz w:val="32"/>
          <w:szCs w:val="32"/>
          <w:shd w:val="clear" w:fill="FFFFFF"/>
        </w:rPr>
        <w:t>（三）政府信息管理。</w:t>
      </w:r>
      <w:r>
        <w:rPr>
          <w:rFonts w:hint="eastAsia" w:ascii="仿宋" w:hAnsi="仿宋" w:eastAsia="仿宋" w:cs="仿宋"/>
          <w:i w:val="0"/>
          <w:iCs w:val="0"/>
          <w:caps w:val="0"/>
          <w:color w:val="000000"/>
          <w:spacing w:val="0"/>
          <w:sz w:val="32"/>
          <w:szCs w:val="32"/>
          <w:shd w:val="clear" w:fill="FFFFFF"/>
        </w:rPr>
        <w:t>桃岭乡全面完成政府信息主动公开基本目录建设，并按照要求发布。严格落实“三审”制度，重点防范出现泄露群众隐私、重大表述错误和信息泄密等情况，全年未因政府信息公开引发负面舆情事件。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1"/>
        <w:jc w:val="both"/>
        <w:rPr>
          <w:rFonts w:hint="eastAsia" w:ascii="仿宋" w:hAnsi="仿宋" w:eastAsia="仿宋" w:cs="仿宋"/>
          <w:i w:val="0"/>
          <w:iCs w:val="0"/>
          <w:caps w:val="0"/>
          <w:color w:val="333333"/>
          <w:spacing w:val="0"/>
          <w:sz w:val="32"/>
          <w:szCs w:val="32"/>
        </w:rPr>
      </w:pPr>
      <w:r>
        <w:rPr>
          <w:rFonts w:hint="eastAsia" w:ascii="楷体" w:hAnsi="楷体" w:eastAsia="楷体" w:cs="楷体"/>
          <w:b/>
          <w:bCs/>
          <w:i w:val="0"/>
          <w:iCs w:val="0"/>
          <w:caps w:val="0"/>
          <w:color w:val="000000"/>
          <w:spacing w:val="0"/>
          <w:sz w:val="32"/>
          <w:szCs w:val="32"/>
          <w:shd w:val="clear" w:fill="FFFFFF"/>
        </w:rPr>
        <w:t>（四）政府信息公开平台建设。</w:t>
      </w:r>
      <w:r>
        <w:rPr>
          <w:rFonts w:hint="eastAsia" w:ascii="仿宋" w:hAnsi="仿宋" w:eastAsia="仿宋" w:cs="仿宋"/>
          <w:i w:val="0"/>
          <w:iCs w:val="0"/>
          <w:caps w:val="0"/>
          <w:color w:val="000000"/>
          <w:spacing w:val="0"/>
          <w:sz w:val="32"/>
          <w:szCs w:val="32"/>
          <w:shd w:val="clear" w:fill="FFFFFF"/>
        </w:rPr>
        <w:t>在县政府办的指导下，进一步完善了我乡政务公开栏、村务公开栏的建设，在为民服务中心、村为民服务工作站设立了政府信息公开查阅点。积极配合政府信息公开目录调整，重点对财政专项资金、政策解读、两化试点领域和村务公开等栏目进行调整规范，并根据政府信息公开目录调整，及时做好信息公开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1"/>
        <w:jc w:val="both"/>
        <w:rPr>
          <w:rFonts w:hint="eastAsia" w:ascii="仿宋" w:hAnsi="仿宋" w:eastAsia="仿宋" w:cs="仿宋"/>
          <w:i w:val="0"/>
          <w:iCs w:val="0"/>
          <w:caps w:val="0"/>
          <w:color w:val="333333"/>
          <w:spacing w:val="0"/>
          <w:sz w:val="32"/>
          <w:szCs w:val="32"/>
        </w:rPr>
      </w:pPr>
      <w:r>
        <w:rPr>
          <w:rFonts w:hint="eastAsia" w:ascii="楷体" w:hAnsi="楷体" w:eastAsia="楷体" w:cs="楷体"/>
          <w:b/>
          <w:bCs/>
          <w:i w:val="0"/>
          <w:iCs w:val="0"/>
          <w:caps w:val="0"/>
          <w:color w:val="000000"/>
          <w:spacing w:val="0"/>
          <w:sz w:val="32"/>
          <w:szCs w:val="32"/>
          <w:shd w:val="clear" w:fill="FFFFFF"/>
        </w:rPr>
        <w:t>（五）政府信息公开监督保障。</w:t>
      </w:r>
      <w:r>
        <w:rPr>
          <w:rFonts w:hint="eastAsia" w:ascii="仿宋" w:hAnsi="仿宋" w:eastAsia="仿宋" w:cs="仿宋"/>
          <w:i w:val="0"/>
          <w:iCs w:val="0"/>
          <w:caps w:val="0"/>
          <w:color w:val="000000"/>
          <w:spacing w:val="0"/>
          <w:sz w:val="32"/>
          <w:szCs w:val="32"/>
          <w:shd w:val="clear" w:fill="FFFFFF"/>
        </w:rPr>
        <w:t>桃岭乡将政府信息公开工作纳入年度目标绩效考评，强化责任追究，坚持每月一统计、季度一通报，按季度召开政务公开部门协调会和调度会，对工作开展滞后、信息公开失误的单位进行通报。2021年我乡在县政务公开工作考核中取得了良好成绩，接受各单位和群众的社会监督，社会评议良好，未产生责任追究相关问题和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93"/>
        <w:gridCol w:w="2109"/>
        <w:gridCol w:w="2109"/>
        <w:gridCol w:w="2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信息内容</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本年</w:t>
            </w:r>
            <w:r>
              <w:rPr>
                <w:rFonts w:hint="eastAsia" w:ascii="宋体" w:hAnsi="宋体" w:eastAsia="宋体" w:cs="宋体"/>
                <w:sz w:val="20"/>
                <w:szCs w:val="20"/>
              </w:rPr>
              <w:t>制发件数</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本年废止件数</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现行有效件</w:t>
            </w:r>
            <w:r>
              <w:rPr>
                <w:rFonts w:hint="eastAsia" w:ascii="宋体" w:hAnsi="宋体" w:eastAsia="宋体" w:cs="宋体"/>
                <w:sz w:val="20"/>
                <w:szCs w:val="20"/>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color w:val="00000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0 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color w:val="000000"/>
                <w:sz w:val="20"/>
                <w:szCs w:val="20"/>
              </w:rPr>
              <w:t>行政</w:t>
            </w:r>
            <w:bookmarkStart w:id="1" w:name="_GoBack"/>
            <w:bookmarkEnd w:id="1"/>
            <w:r>
              <w:rPr>
                <w:rFonts w:hint="eastAsia" w:ascii="宋体" w:hAnsi="宋体" w:eastAsia="宋体" w:cs="宋体"/>
                <w:color w:val="000000"/>
                <w:sz w:val="20"/>
                <w:szCs w:val="20"/>
              </w:rPr>
              <w:t>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宋体" w:cs="仿宋"/>
                <w:sz w:val="32"/>
                <w:szCs w:val="32"/>
                <w:lang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lang w:eastAsia="zh-CN"/>
              </w:rPr>
            </w:pPr>
            <w:r>
              <w:rPr>
                <w:rFonts w:hint="eastAsia" w:ascii="宋体" w:hAnsi="宋体" w:eastAsia="宋体" w:cs="宋体"/>
                <w:color w:val="00000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宋体" w:cs="仿宋"/>
                <w:sz w:val="32"/>
                <w:szCs w:val="32"/>
                <w:lang w:eastAsia="zh-CN"/>
              </w:rPr>
            </w:pPr>
            <w:r>
              <w:rPr>
                <w:rFonts w:hint="eastAsia" w:ascii="宋体" w:hAnsi="宋体" w:eastAsia="宋体" w:cs="宋体"/>
                <w:color w:val="000000"/>
                <w:sz w:val="20"/>
                <w:szCs w:val="20"/>
              </w:rPr>
              <w:t>  </w:t>
            </w:r>
            <w:r>
              <w:rPr>
                <w:rFonts w:hint="eastAsia" w:ascii="宋体" w:hAnsi="宋体" w:eastAsia="宋体" w:cs="宋体"/>
                <w:color w:val="00000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color w:val="00000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color w:val="00000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  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color w:val="00000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color w:val="00000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tbl>
      <w:tblPr>
        <w:tblStyle w:val="6"/>
        <w:tblW w:w="813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11"/>
        <w:gridCol w:w="811"/>
        <w:gridCol w:w="1664"/>
        <w:gridCol w:w="473"/>
        <w:gridCol w:w="473"/>
        <w:gridCol w:w="473"/>
        <w:gridCol w:w="473"/>
        <w:gridCol w:w="473"/>
        <w:gridCol w:w="473"/>
        <w:gridCol w:w="11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86" w:type="dxa"/>
            <w:gridSpan w:val="3"/>
            <w:vMerge w:val="restart"/>
            <w:tcBorders>
              <w:top w:val="single" w:color="auto" w:sz="8" w:space="0"/>
              <w:left w:val="single" w:color="auto" w:sz="8" w:space="0"/>
              <w:bottom w:val="inset"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楷体" w:hAnsi="楷体" w:eastAsia="楷体" w:cs="楷体"/>
                <w:sz w:val="20"/>
                <w:szCs w:val="20"/>
              </w:rPr>
              <w:t>（本列数据的勾稽关系为：第一项加第二项之和，等于第三项加第四项之和）</w:t>
            </w:r>
          </w:p>
        </w:tc>
        <w:tc>
          <w:tcPr>
            <w:tcW w:w="3944"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86" w:type="dxa"/>
            <w:gridSpan w:val="3"/>
            <w:vMerge w:val="continue"/>
            <w:tcBorders>
              <w:top w:val="single" w:color="auto" w:sz="8" w:space="0"/>
              <w:left w:val="single" w:color="auto" w:sz="8" w:space="0"/>
              <w:bottom w:val="in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73"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自然人</w:t>
            </w:r>
          </w:p>
        </w:tc>
        <w:tc>
          <w:tcPr>
            <w:tcW w:w="2365" w:type="dxa"/>
            <w:gridSpan w:val="5"/>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法人或其他组织</w:t>
            </w:r>
          </w:p>
        </w:tc>
        <w:tc>
          <w:tcPr>
            <w:tcW w:w="1106"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86" w:type="dxa"/>
            <w:gridSpan w:val="3"/>
            <w:vMerge w:val="continue"/>
            <w:tcBorders>
              <w:top w:val="single" w:color="auto" w:sz="8" w:space="0"/>
              <w:left w:val="single" w:color="auto" w:sz="8" w:space="0"/>
              <w:bottom w:val="in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73"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商业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企业</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科研</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机构</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社会公益组织</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法律服务机构</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其他</w:t>
            </w:r>
          </w:p>
        </w:tc>
        <w:tc>
          <w:tcPr>
            <w:tcW w:w="1106"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8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一、本年新收政府信息公开申请数量</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8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二、上年结转政府信息公开申请数量</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restart"/>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三、本年度办理结果</w:t>
            </w:r>
          </w:p>
        </w:tc>
        <w:tc>
          <w:tcPr>
            <w:tcW w:w="247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（一）予以公开</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47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（二）部分公开</w:t>
            </w:r>
            <w:r>
              <w:rPr>
                <w:rFonts w:hint="eastAsia" w:ascii="楷体" w:hAnsi="楷体" w:eastAsia="楷体" w:cs="楷体"/>
                <w:sz w:val="20"/>
                <w:szCs w:val="20"/>
              </w:rPr>
              <w:t>（区分处理的，只计这一情形，不计其他情形）</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（三）不予公开</w:t>
            </w:r>
          </w:p>
        </w:tc>
        <w:tc>
          <w:tcPr>
            <w:tcW w:w="1664"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1.属于国家秘密</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1664"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2.其他法律行政法规禁止公开</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1664"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3.危及“三安全一稳定”</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1664"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4.保护第三方合法权益</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1664"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5.属于三类内部事务信息</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1664"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6.属于四类过程性信息</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1664"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7.属于行政执法案卷</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1664"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8.属于行政查询事项</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（四）无法提供</w:t>
            </w:r>
          </w:p>
        </w:tc>
        <w:tc>
          <w:tcPr>
            <w:tcW w:w="1664"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1.本机关不掌握相关政府信息</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1664"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2.没有现成信息需要另行制作</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1664"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3.补正后申请内容仍不明确</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（五）不予处理</w:t>
            </w:r>
          </w:p>
        </w:tc>
        <w:tc>
          <w:tcPr>
            <w:tcW w:w="1664"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1.信访举报投诉类申请</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1664"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2.重复申请</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1664"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3.要求提供公开出版物</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1664"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4.无正当理由大量反复申请</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1664" w:type="dxa"/>
            <w:tcBorders>
              <w:top w:val="nil"/>
              <w:left w:val="nil"/>
              <w:bottom w:val="inset"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sz w:val="32"/>
                <w:szCs w:val="32"/>
              </w:rPr>
            </w:pPr>
            <w:r>
              <w:rPr>
                <w:rFonts w:hint="eastAsia" w:ascii="宋体" w:hAnsi="宋体" w:eastAsia="宋体" w:cs="宋体"/>
                <w:sz w:val="20"/>
                <w:szCs w:val="20"/>
              </w:rPr>
              <w:t>5.要求行政机关确认或重新出具已获取信息</w:t>
            </w:r>
          </w:p>
        </w:tc>
        <w:tc>
          <w:tcPr>
            <w:tcW w:w="473" w:type="dxa"/>
            <w:tcBorders>
              <w:top w:val="nil"/>
              <w:left w:val="nil"/>
              <w:bottom w:val="inset"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inset"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inset"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inset"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inset"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inset"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inset"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（六）其他处理</w:t>
            </w:r>
          </w:p>
        </w:tc>
        <w:tc>
          <w:tcPr>
            <w:tcW w:w="1664"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sz w:val="32"/>
                <w:szCs w:val="32"/>
              </w:rPr>
            </w:pPr>
            <w:r>
              <w:rPr>
                <w:rFonts w:hint="eastAsia" w:ascii="宋体" w:hAnsi="宋体" w:eastAsia="宋体" w:cs="宋体"/>
                <w:sz w:val="20"/>
                <w:szCs w:val="20"/>
              </w:rPr>
              <w:t>1.申请人无正当理由逾期不补正、行政机关不再处理其政府信息公开申请</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1664"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sz w:val="32"/>
                <w:szCs w:val="32"/>
              </w:rPr>
            </w:pPr>
            <w:r>
              <w:rPr>
                <w:rFonts w:hint="eastAsia" w:ascii="宋体" w:hAnsi="宋体" w:eastAsia="宋体" w:cs="宋体"/>
                <w:sz w:val="20"/>
                <w:szCs w:val="20"/>
              </w:rPr>
              <w:t>2.申请人逾期未按收费通知要求缴纳费用、行政机关不再处理其政府信息公开申请</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811"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1664"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3.其他</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11"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47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（七）总计</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18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2"/>
                <w:szCs w:val="32"/>
              </w:rPr>
            </w:pPr>
            <w:r>
              <w:rPr>
                <w:rFonts w:hint="eastAsia" w:ascii="宋体" w:hAnsi="宋体" w:eastAsia="宋体" w:cs="宋体"/>
                <w:sz w:val="20"/>
                <w:szCs w:val="20"/>
              </w:rPr>
              <w:t>四、结转下年度继续办理</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73"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1106" w:type="dxa"/>
            <w:tcBorders>
              <w:top w:val="nil"/>
              <w:left w:val="nil"/>
              <w:bottom w:val="single" w:color="auto" w:sz="8" w:space="0"/>
              <w:right w:val="single" w:color="auto"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40"/>
              <w:jc w:val="both"/>
              <w:rPr>
                <w:rFonts w:hint="eastAsia" w:ascii="仿宋" w:hAnsi="仿宋" w:eastAsia="仿宋" w:cs="仿宋"/>
                <w:sz w:val="32"/>
                <w:szCs w:val="32"/>
              </w:rPr>
            </w:pPr>
            <w:r>
              <w:rPr>
                <w:rFonts w:hint="eastAsia" w:ascii="宋体" w:hAnsi="宋体" w:eastAsia="宋体" w:cs="宋体"/>
                <w:sz w:val="24"/>
                <w:szCs w:val="24"/>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宋体" w:hAnsi="宋体" w:eastAsia="宋体" w:cs="宋体"/>
          <w:i w:val="0"/>
          <w:iCs w:val="0"/>
          <w:caps w:val="0"/>
          <w:color w:val="333333"/>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四、政府信息公开行政复议、行政诉讼情况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宋体" w:hAnsi="宋体" w:eastAsia="宋体" w:cs="宋体"/>
          <w:i w:val="0"/>
          <w:iCs w:val="0"/>
          <w:caps w:val="0"/>
          <w:color w:val="333333"/>
          <w:spacing w:val="0"/>
          <w:sz w:val="24"/>
          <w:szCs w:val="24"/>
          <w:shd w:val="clear" w:fill="FFFFFF"/>
        </w:rPr>
        <w:t> </w:t>
      </w:r>
    </w:p>
    <w:tbl>
      <w:tblPr>
        <w:tblStyle w:val="6"/>
        <w:tblW w:w="795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5"/>
        <w:gridCol w:w="700"/>
        <w:gridCol w:w="573"/>
        <w:gridCol w:w="433"/>
        <w:gridCol w:w="433"/>
        <w:gridCol w:w="433"/>
        <w:gridCol w:w="433"/>
        <w:gridCol w:w="433"/>
        <w:gridCol w:w="433"/>
        <w:gridCol w:w="433"/>
        <w:gridCol w:w="434"/>
        <w:gridCol w:w="434"/>
        <w:gridCol w:w="434"/>
        <w:gridCol w:w="685"/>
        <w:gridCol w:w="8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9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行政复议</w:t>
            </w:r>
          </w:p>
        </w:tc>
        <w:tc>
          <w:tcPr>
            <w:tcW w:w="4978"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3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结果维持</w:t>
            </w:r>
          </w:p>
        </w:tc>
        <w:tc>
          <w:tcPr>
            <w:tcW w:w="70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纠正</w:t>
            </w:r>
          </w:p>
        </w:tc>
        <w:tc>
          <w:tcPr>
            <w:tcW w:w="57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其他</w:t>
            </w:r>
            <w:r>
              <w:rPr>
                <w:rFonts w:hint="eastAsia" w:ascii="宋体" w:hAnsi="宋体" w:eastAsia="宋体" w:cs="宋体"/>
                <w:sz w:val="20"/>
                <w:szCs w:val="20"/>
              </w:rPr>
              <w:br w:type="textWrapping"/>
            </w:r>
            <w:r>
              <w:rPr>
                <w:rFonts w:hint="eastAsia" w:ascii="宋体" w:hAnsi="宋体" w:eastAsia="宋体" w:cs="宋体"/>
                <w:sz w:val="20"/>
                <w:szCs w:val="20"/>
              </w:rPr>
              <w:t>结果</w:t>
            </w:r>
          </w:p>
        </w:tc>
        <w:tc>
          <w:tcPr>
            <w:tcW w:w="43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尚未</w:t>
            </w:r>
            <w:r>
              <w:rPr>
                <w:rFonts w:hint="eastAsia" w:ascii="宋体" w:hAnsi="宋体" w:eastAsia="宋体" w:cs="宋体"/>
                <w:sz w:val="20"/>
                <w:szCs w:val="20"/>
              </w:rPr>
              <w:br w:type="textWrapping"/>
            </w:r>
            <w:r>
              <w:rPr>
                <w:rFonts w:hint="eastAsia" w:ascii="宋体" w:hAnsi="宋体" w:eastAsia="宋体" w:cs="宋体"/>
                <w:sz w:val="20"/>
                <w:szCs w:val="20"/>
              </w:rPr>
              <w:t>审结</w:t>
            </w:r>
          </w:p>
        </w:tc>
        <w:tc>
          <w:tcPr>
            <w:tcW w:w="43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总计</w:t>
            </w:r>
          </w:p>
        </w:tc>
        <w:tc>
          <w:tcPr>
            <w:tcW w:w="216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未经复议直接起诉</w:t>
            </w:r>
          </w:p>
        </w:tc>
        <w:tc>
          <w:tcPr>
            <w:tcW w:w="2813"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0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7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3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3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维持</w:t>
            </w: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纠正</w:t>
            </w: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其他</w:t>
            </w:r>
            <w:r>
              <w:rPr>
                <w:rFonts w:hint="eastAsia" w:ascii="宋体" w:hAnsi="宋体" w:eastAsia="宋体" w:cs="宋体"/>
                <w:sz w:val="20"/>
                <w:szCs w:val="20"/>
              </w:rPr>
              <w:br w:type="textWrapping"/>
            </w:r>
            <w:r>
              <w:rPr>
                <w:rFonts w:hint="eastAsia" w:ascii="宋体" w:hAnsi="宋体" w:eastAsia="宋体" w:cs="宋体"/>
                <w:sz w:val="20"/>
                <w:szCs w:val="20"/>
              </w:rPr>
              <w:t>结果</w:t>
            </w: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尚未</w:t>
            </w:r>
            <w:r>
              <w:rPr>
                <w:rFonts w:hint="eastAsia" w:ascii="宋体" w:hAnsi="宋体" w:eastAsia="宋体" w:cs="宋体"/>
                <w:sz w:val="20"/>
                <w:szCs w:val="20"/>
              </w:rPr>
              <w:br w:type="textWrapping"/>
            </w:r>
            <w:r>
              <w:rPr>
                <w:rFonts w:hint="eastAsia" w:ascii="宋体" w:hAnsi="宋体" w:eastAsia="宋体" w:cs="宋体"/>
                <w:sz w:val="20"/>
                <w:szCs w:val="20"/>
              </w:rPr>
              <w:t>审结</w:t>
            </w: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总计</w:t>
            </w:r>
          </w:p>
        </w:tc>
        <w:tc>
          <w:tcPr>
            <w:tcW w:w="4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维持</w:t>
            </w:r>
          </w:p>
        </w:tc>
        <w:tc>
          <w:tcPr>
            <w:tcW w:w="4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结果</w:t>
            </w:r>
            <w:r>
              <w:rPr>
                <w:rFonts w:hint="eastAsia" w:ascii="宋体" w:hAnsi="宋体" w:eastAsia="宋体" w:cs="宋体"/>
                <w:sz w:val="20"/>
                <w:szCs w:val="20"/>
              </w:rPr>
              <w:br w:type="textWrapping"/>
            </w:r>
            <w:r>
              <w:rPr>
                <w:rFonts w:hint="eastAsia" w:ascii="宋体" w:hAnsi="宋体" w:eastAsia="宋体" w:cs="宋体"/>
                <w:sz w:val="20"/>
                <w:szCs w:val="20"/>
              </w:rPr>
              <w:t>纠正</w:t>
            </w:r>
          </w:p>
        </w:tc>
        <w:tc>
          <w:tcPr>
            <w:tcW w:w="4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sz w:val="20"/>
                <w:szCs w:val="20"/>
              </w:rPr>
              <w:t>尚未</w:t>
            </w:r>
            <w:r>
              <w:rPr>
                <w:rFonts w:hint="eastAsia" w:ascii="宋体" w:hAnsi="宋体" w:eastAsia="宋体" w:cs="宋体"/>
                <w:sz w:val="20"/>
                <w:szCs w:val="20"/>
              </w:rPr>
              <w:br w:type="textWrapping"/>
            </w:r>
            <w:r>
              <w:rPr>
                <w:rFonts w:hint="eastAsia" w:ascii="宋体" w:hAnsi="宋体" w:eastAsia="宋体" w:cs="宋体"/>
                <w:sz w:val="20"/>
                <w:szCs w:val="20"/>
              </w:rPr>
              <w:t>审结</w:t>
            </w:r>
          </w:p>
        </w:tc>
        <w:tc>
          <w:tcPr>
            <w:tcW w:w="82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color w:val="00000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8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0</w:t>
            </w: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4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 w:hAnsi="仿宋" w:eastAsia="仿宋" w:cs="仿宋"/>
                <w:sz w:val="32"/>
                <w:szCs w:val="32"/>
              </w:rPr>
            </w:pPr>
            <w:r>
              <w:rPr>
                <w:rFonts w:hint="default" w:ascii="Calibri" w:hAnsi="Calibri" w:eastAsia="仿宋" w:cs="Calibri"/>
                <w:sz w:val="20"/>
                <w:szCs w:val="20"/>
              </w:rPr>
              <w:t> 0</w:t>
            </w:r>
          </w:p>
        </w:tc>
        <w:tc>
          <w:tcPr>
            <w:tcW w:w="82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 w:hAnsi="仿宋" w:eastAsia="仿宋" w:cs="仿宋"/>
                <w:sz w:val="32"/>
                <w:szCs w:val="32"/>
              </w:rPr>
            </w:pPr>
            <w:r>
              <w:rPr>
                <w:rFonts w:hint="default" w:ascii="Calibri" w:hAnsi="Calibri" w:eastAsia="仿宋" w:cs="Calibri"/>
                <w:sz w:val="20"/>
                <w:szCs w:val="20"/>
              </w:rPr>
              <w:t> 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五、存在的主要问题及改进情况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3"/>
        <w:jc w:val="both"/>
        <w:rPr>
          <w:rFonts w:hint="default" w:ascii="仿宋" w:hAnsi="仿宋" w:eastAsia="仿宋" w:cs="仿宋"/>
          <w:i w:val="0"/>
          <w:iCs w:val="0"/>
          <w:caps w:val="0"/>
          <w:color w:val="333333"/>
          <w:spacing w:val="0"/>
          <w:sz w:val="32"/>
          <w:szCs w:val="32"/>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1</w:t>
      </w:r>
      <w:r>
        <w:rPr>
          <w:rFonts w:hint="eastAsia" w:ascii="楷体" w:hAnsi="楷体" w:eastAsia="楷体" w:cs="楷体"/>
          <w:b/>
          <w:bCs/>
          <w:i w:val="0"/>
          <w:iCs w:val="0"/>
          <w:caps w:val="0"/>
          <w:color w:val="000000"/>
          <w:spacing w:val="0"/>
          <w:sz w:val="32"/>
          <w:szCs w:val="32"/>
          <w:shd w:val="clear" w:fill="FFFFFF"/>
        </w:rPr>
        <w:t>.改进情况：</w:t>
      </w:r>
      <w:r>
        <w:rPr>
          <w:rFonts w:hint="eastAsia" w:ascii="仿宋" w:hAnsi="仿宋" w:eastAsia="仿宋" w:cs="仿宋"/>
          <w:i w:val="0"/>
          <w:iCs w:val="0"/>
          <w:caps w:val="0"/>
          <w:color w:val="333333"/>
          <w:spacing w:val="0"/>
          <w:sz w:val="32"/>
          <w:szCs w:val="32"/>
          <w:shd w:val="clear" w:fill="FFFFFF"/>
        </w:rPr>
        <w:t>针对</w:t>
      </w:r>
      <w:r>
        <w:rPr>
          <w:rFonts w:hint="eastAsia" w:ascii="仿宋" w:hAnsi="仿宋" w:eastAsia="仿宋" w:cs="仿宋"/>
          <w:i w:val="0"/>
          <w:iCs w:val="0"/>
          <w:caps w:val="0"/>
          <w:color w:val="333333"/>
          <w:spacing w:val="0"/>
          <w:sz w:val="32"/>
          <w:szCs w:val="32"/>
          <w:shd w:val="clear" w:fill="FFFFFF"/>
          <w:lang w:val="en-US" w:eastAsia="zh-CN"/>
        </w:rPr>
        <w:t>上年</w:t>
      </w:r>
      <w:r>
        <w:rPr>
          <w:rFonts w:hint="eastAsia" w:ascii="仿宋" w:hAnsi="仿宋" w:eastAsia="仿宋" w:cs="仿宋"/>
          <w:i w:val="0"/>
          <w:iCs w:val="0"/>
          <w:caps w:val="0"/>
          <w:color w:val="333333"/>
          <w:spacing w:val="0"/>
          <w:sz w:val="32"/>
          <w:szCs w:val="32"/>
          <w:shd w:val="clear" w:fill="FFFFFF"/>
        </w:rPr>
        <w:t>存在的问题，桃岭乡将政务公开纳入了目标责任制考评，明确专人专岗负责此项工作</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分管领导强化调度，多次组织培训，提升人员业务水平。对于应公布的内容清单化管理，从严审核把关，督促经办人员按月公布。同时加强季度监督，形成闭环式问责问效</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提升明显。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3"/>
        <w:jc w:val="both"/>
        <w:rPr>
          <w:rFonts w:hint="eastAsia" w:ascii="仿宋" w:hAnsi="仿宋" w:eastAsia="仿宋" w:cs="仿宋"/>
          <w:i w:val="0"/>
          <w:iCs w:val="0"/>
          <w:caps w:val="0"/>
          <w:color w:val="333333"/>
          <w:spacing w:val="0"/>
          <w:sz w:val="32"/>
          <w:szCs w:val="32"/>
        </w:rPr>
      </w:pPr>
      <w:r>
        <w:rPr>
          <w:rFonts w:hint="eastAsia" w:ascii="楷体" w:hAnsi="楷体" w:eastAsia="楷体" w:cs="楷体"/>
          <w:b/>
          <w:bCs/>
          <w:i w:val="0"/>
          <w:iCs w:val="0"/>
          <w:caps w:val="0"/>
          <w:color w:val="000000"/>
          <w:spacing w:val="0"/>
          <w:sz w:val="32"/>
          <w:szCs w:val="32"/>
          <w:shd w:val="clear" w:fill="FFFFFF"/>
          <w:lang w:val="en-US" w:eastAsia="zh-CN"/>
        </w:rPr>
        <w:t>2</w:t>
      </w:r>
      <w:r>
        <w:rPr>
          <w:rFonts w:hint="eastAsia" w:ascii="楷体" w:hAnsi="楷体" w:eastAsia="楷体" w:cs="楷体"/>
          <w:b/>
          <w:bCs/>
          <w:i w:val="0"/>
          <w:iCs w:val="0"/>
          <w:caps w:val="0"/>
          <w:color w:val="000000"/>
          <w:spacing w:val="0"/>
          <w:sz w:val="32"/>
          <w:szCs w:val="32"/>
          <w:shd w:val="clear" w:fill="FFFFFF"/>
        </w:rPr>
        <w:t>.存在问题：</w:t>
      </w:r>
      <w:r>
        <w:rPr>
          <w:rFonts w:hint="eastAsia" w:ascii="仿宋" w:hAnsi="仿宋" w:eastAsia="仿宋" w:cs="仿宋"/>
          <w:i w:val="0"/>
          <w:iCs w:val="0"/>
          <w:caps w:val="0"/>
          <w:color w:val="333333"/>
          <w:spacing w:val="0"/>
          <w:sz w:val="32"/>
          <w:szCs w:val="32"/>
          <w:shd w:val="clear" w:fill="FFFFFF"/>
          <w:lang w:val="en-US" w:eastAsia="zh-CN"/>
        </w:rPr>
        <w:t>一是</w:t>
      </w:r>
      <w:r>
        <w:rPr>
          <w:rFonts w:hint="eastAsia" w:ascii="仿宋" w:hAnsi="仿宋" w:eastAsia="仿宋" w:cs="仿宋"/>
          <w:i w:val="0"/>
          <w:iCs w:val="0"/>
          <w:caps w:val="0"/>
          <w:color w:val="333333"/>
          <w:spacing w:val="0"/>
          <w:sz w:val="32"/>
          <w:szCs w:val="32"/>
          <w:shd w:val="clear" w:fill="FFFFFF"/>
        </w:rPr>
        <w:t>经办人员专业知识掌握</w:t>
      </w:r>
      <w:r>
        <w:rPr>
          <w:rFonts w:hint="eastAsia" w:ascii="仿宋" w:hAnsi="仿宋" w:eastAsia="仿宋" w:cs="仿宋"/>
          <w:i w:val="0"/>
          <w:iCs w:val="0"/>
          <w:caps w:val="0"/>
          <w:color w:val="333333"/>
          <w:spacing w:val="0"/>
          <w:sz w:val="32"/>
          <w:szCs w:val="32"/>
          <w:shd w:val="clear" w:fill="FFFFFF"/>
          <w:lang w:val="en-US" w:eastAsia="zh-CN"/>
        </w:rPr>
        <w:t>不足</w:t>
      </w:r>
      <w:r>
        <w:rPr>
          <w:rFonts w:hint="eastAsia" w:ascii="仿宋" w:hAnsi="仿宋" w:eastAsia="仿宋" w:cs="仿宋"/>
          <w:i w:val="0"/>
          <w:iCs w:val="0"/>
          <w:caps w:val="0"/>
          <w:color w:val="333333"/>
          <w:spacing w:val="0"/>
          <w:sz w:val="32"/>
          <w:szCs w:val="32"/>
          <w:shd w:val="clear" w:fill="FFFFFF"/>
        </w:rPr>
        <w:t>，对于各领域公开内容的理解和认识不深，存在机械</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被动</w:t>
      </w:r>
      <w:r>
        <w:rPr>
          <w:rFonts w:hint="eastAsia" w:ascii="仿宋" w:hAnsi="仿宋" w:eastAsia="仿宋" w:cs="仿宋"/>
          <w:i w:val="0"/>
          <w:iCs w:val="0"/>
          <w:caps w:val="0"/>
          <w:color w:val="333333"/>
          <w:spacing w:val="0"/>
          <w:sz w:val="32"/>
          <w:szCs w:val="32"/>
          <w:shd w:val="clear" w:fill="FFFFFF"/>
        </w:rPr>
        <w:t>更新的情况；</w:t>
      </w:r>
      <w:r>
        <w:rPr>
          <w:rFonts w:hint="eastAsia" w:ascii="仿宋" w:hAnsi="仿宋" w:eastAsia="仿宋" w:cs="仿宋"/>
          <w:i w:val="0"/>
          <w:iCs w:val="0"/>
          <w:caps w:val="0"/>
          <w:color w:val="333333"/>
          <w:spacing w:val="0"/>
          <w:sz w:val="32"/>
          <w:szCs w:val="32"/>
          <w:shd w:val="clear" w:fill="FFFFFF"/>
          <w:lang w:val="en-US" w:eastAsia="zh-CN"/>
        </w:rPr>
        <w:t>二是</w:t>
      </w:r>
      <w:r>
        <w:rPr>
          <w:rFonts w:hint="eastAsia" w:ascii="仿宋" w:hAnsi="仿宋" w:eastAsia="仿宋" w:cs="仿宋"/>
          <w:i w:val="0"/>
          <w:iCs w:val="0"/>
          <w:caps w:val="0"/>
          <w:color w:val="333333"/>
          <w:spacing w:val="0"/>
          <w:sz w:val="32"/>
          <w:szCs w:val="32"/>
          <w:shd w:val="clear" w:fill="FFFFFF"/>
        </w:rPr>
        <w:t>部分两化领域的目录未能结合县乡实际，导致乡镇层面无信息可更新。为了保障栏目不空，存在按季度写说明的情况。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exact"/>
        <w:ind w:left="0" w:leftChars="0" w:right="0" w:rightChars="0" w:firstLine="643" w:firstLineChars="200"/>
        <w:jc w:val="both"/>
        <w:rPr>
          <w:rFonts w:hint="default" w:ascii="仿宋" w:hAnsi="仿宋" w:eastAsia="仿宋" w:cs="仿宋"/>
          <w:i w:val="0"/>
          <w:iCs w:val="0"/>
          <w:caps w:val="0"/>
          <w:color w:val="333333"/>
          <w:spacing w:val="0"/>
          <w:sz w:val="32"/>
          <w:szCs w:val="32"/>
          <w:shd w:val="clear" w:fill="FFFFFF"/>
          <w:lang w:val="en-US"/>
        </w:rPr>
      </w:pPr>
      <w:r>
        <w:rPr>
          <w:rFonts w:hint="eastAsia" w:ascii="楷体" w:hAnsi="楷体" w:eastAsia="楷体" w:cs="楷体"/>
          <w:b/>
          <w:bCs/>
          <w:i w:val="0"/>
          <w:iCs w:val="0"/>
          <w:caps w:val="0"/>
          <w:color w:val="000000"/>
          <w:spacing w:val="0"/>
          <w:sz w:val="32"/>
          <w:szCs w:val="32"/>
          <w:shd w:val="clear" w:fill="FFFFFF"/>
          <w:lang w:val="en-US" w:eastAsia="zh-CN"/>
        </w:rPr>
        <w:t>3</w:t>
      </w:r>
      <w:r>
        <w:rPr>
          <w:rFonts w:hint="eastAsia" w:ascii="楷体" w:hAnsi="楷体" w:eastAsia="楷体" w:cs="楷体"/>
          <w:b/>
          <w:bCs/>
          <w:i w:val="0"/>
          <w:iCs w:val="0"/>
          <w:caps w:val="0"/>
          <w:color w:val="000000"/>
          <w:spacing w:val="0"/>
          <w:sz w:val="32"/>
          <w:szCs w:val="32"/>
          <w:shd w:val="clear" w:fill="FFFFFF"/>
        </w:rPr>
        <w:t>.改进措施：</w:t>
      </w:r>
      <w:r>
        <w:rPr>
          <w:rFonts w:hint="eastAsia" w:ascii="仿宋" w:hAnsi="仿宋" w:eastAsia="仿宋" w:cs="仿宋"/>
          <w:i w:val="0"/>
          <w:iCs w:val="0"/>
          <w:caps w:val="0"/>
          <w:color w:val="333333"/>
          <w:spacing w:val="0"/>
          <w:sz w:val="32"/>
          <w:szCs w:val="32"/>
          <w:shd w:val="clear" w:fill="FFFFFF"/>
        </w:rPr>
        <w:t>一是加强指导和培训，</w:t>
      </w:r>
      <w:r>
        <w:rPr>
          <w:rFonts w:hint="eastAsia" w:ascii="仿宋" w:hAnsi="仿宋" w:eastAsia="仿宋" w:cs="仿宋"/>
          <w:i w:val="0"/>
          <w:iCs w:val="0"/>
          <w:caps w:val="0"/>
          <w:color w:val="333333"/>
          <w:spacing w:val="0"/>
          <w:sz w:val="32"/>
          <w:szCs w:val="32"/>
          <w:shd w:val="clear" w:fill="FFFFFF"/>
          <w:lang w:val="en-US" w:eastAsia="zh-CN"/>
        </w:rPr>
        <w:t>通过跟班学习等方式提升经办人员业务水平</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加强村务公开监督检查</w:t>
      </w:r>
      <w:r>
        <w:rPr>
          <w:rFonts w:hint="eastAsia" w:ascii="仿宋" w:hAnsi="仿宋" w:eastAsia="仿宋" w:cs="仿宋"/>
          <w:i w:val="0"/>
          <w:iCs w:val="0"/>
          <w:caps w:val="0"/>
          <w:color w:val="333333"/>
          <w:spacing w:val="0"/>
          <w:sz w:val="32"/>
          <w:szCs w:val="32"/>
          <w:shd w:val="clear" w:fill="FFFFFF"/>
        </w:rPr>
        <w:t>，提升村</w:t>
      </w:r>
      <w:r>
        <w:rPr>
          <w:rFonts w:hint="eastAsia" w:ascii="仿宋" w:hAnsi="仿宋" w:eastAsia="仿宋" w:cs="仿宋"/>
          <w:i w:val="0"/>
          <w:iCs w:val="0"/>
          <w:caps w:val="0"/>
          <w:color w:val="333333"/>
          <w:spacing w:val="0"/>
          <w:sz w:val="32"/>
          <w:szCs w:val="32"/>
          <w:shd w:val="clear" w:fill="FFFFFF"/>
          <w:lang w:val="en-US" w:eastAsia="zh-CN"/>
        </w:rPr>
        <w:t>级信息公开质量</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二是建立协作机制。实现信息互通“共享”，推动涉及政务公开多部门有机融合，有效衔接。构建起上下联动的工作机制，实现力量互补“共治”</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全面保障各栏目信息更新。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000000"/>
          <w:spacing w:val="0"/>
          <w:sz w:val="32"/>
          <w:szCs w:val="32"/>
          <w:shd w:val="clear" w:fill="FFFFFF"/>
        </w:rPr>
        <w:t>六、其他需要报告的事项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按照《国务院办公厅关于印发〈政府信息公开信息处理费管理办法〉的通知》（国办函〔2020〕109号）规定的按件、按量收费标准，本年度没有产生信息公开处理费</w:t>
      </w:r>
    </w:p>
    <w:p>
      <w:pPr>
        <w:pStyle w:val="5"/>
        <w:widowControl/>
        <w:shd w:val="clear" w:color="auto" w:fill="FFFFFF"/>
        <w:spacing w:before="0" w:beforeAutospacing="0" w:after="0" w:afterAutospacing="0" w:line="590" w:lineRule="exact"/>
        <w:ind w:firstLine="640" w:firstLineChars="200"/>
        <w:jc w:val="both"/>
        <w:rPr>
          <w:rFonts w:hAnsi="宋体" w:eastAsia="方正仿宋_GBK" w:cs="宋体"/>
          <w:color w:val="000000"/>
          <w:sz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D6"/>
    <w:rsid w:val="00004A8B"/>
    <w:rsid w:val="00073276"/>
    <w:rsid w:val="00073CB2"/>
    <w:rsid w:val="0009373F"/>
    <w:rsid w:val="000B10E6"/>
    <w:rsid w:val="000E4891"/>
    <w:rsid w:val="000F1B01"/>
    <w:rsid w:val="000F51E3"/>
    <w:rsid w:val="00151A48"/>
    <w:rsid w:val="00171970"/>
    <w:rsid w:val="001D53C7"/>
    <w:rsid w:val="002004F9"/>
    <w:rsid w:val="0020479C"/>
    <w:rsid w:val="00220F30"/>
    <w:rsid w:val="0026320D"/>
    <w:rsid w:val="002C689E"/>
    <w:rsid w:val="00306C7D"/>
    <w:rsid w:val="00317FD1"/>
    <w:rsid w:val="00383B42"/>
    <w:rsid w:val="00392E31"/>
    <w:rsid w:val="003A3EB6"/>
    <w:rsid w:val="003B2098"/>
    <w:rsid w:val="003C3D3D"/>
    <w:rsid w:val="003C7E90"/>
    <w:rsid w:val="003D3EF9"/>
    <w:rsid w:val="003D5F4B"/>
    <w:rsid w:val="003F27BE"/>
    <w:rsid w:val="004172E8"/>
    <w:rsid w:val="00462DFD"/>
    <w:rsid w:val="00473D21"/>
    <w:rsid w:val="004B2DAD"/>
    <w:rsid w:val="004B53D8"/>
    <w:rsid w:val="004B61D8"/>
    <w:rsid w:val="004D57F0"/>
    <w:rsid w:val="004D728B"/>
    <w:rsid w:val="005106E1"/>
    <w:rsid w:val="00544003"/>
    <w:rsid w:val="00576652"/>
    <w:rsid w:val="00596512"/>
    <w:rsid w:val="005C63D0"/>
    <w:rsid w:val="006208BA"/>
    <w:rsid w:val="00627D1B"/>
    <w:rsid w:val="00630DDD"/>
    <w:rsid w:val="006478B4"/>
    <w:rsid w:val="00656022"/>
    <w:rsid w:val="00681475"/>
    <w:rsid w:val="0068264D"/>
    <w:rsid w:val="00696581"/>
    <w:rsid w:val="00696C17"/>
    <w:rsid w:val="00707885"/>
    <w:rsid w:val="0071673C"/>
    <w:rsid w:val="007410B4"/>
    <w:rsid w:val="007503D1"/>
    <w:rsid w:val="007A091B"/>
    <w:rsid w:val="007A17FF"/>
    <w:rsid w:val="007A709A"/>
    <w:rsid w:val="007A7DD0"/>
    <w:rsid w:val="007B34BF"/>
    <w:rsid w:val="007B7FF2"/>
    <w:rsid w:val="007D13FB"/>
    <w:rsid w:val="007F4D05"/>
    <w:rsid w:val="00821E78"/>
    <w:rsid w:val="00831CF3"/>
    <w:rsid w:val="0083283F"/>
    <w:rsid w:val="00837680"/>
    <w:rsid w:val="008418C9"/>
    <w:rsid w:val="008609B8"/>
    <w:rsid w:val="00885A13"/>
    <w:rsid w:val="008B67AF"/>
    <w:rsid w:val="008C300C"/>
    <w:rsid w:val="008D036C"/>
    <w:rsid w:val="00913646"/>
    <w:rsid w:val="00921D0A"/>
    <w:rsid w:val="009330C6"/>
    <w:rsid w:val="00937826"/>
    <w:rsid w:val="009379D4"/>
    <w:rsid w:val="00994C30"/>
    <w:rsid w:val="009B40D6"/>
    <w:rsid w:val="009D26CF"/>
    <w:rsid w:val="00A04F53"/>
    <w:rsid w:val="00A215A5"/>
    <w:rsid w:val="00A27692"/>
    <w:rsid w:val="00A30C6E"/>
    <w:rsid w:val="00A35C9C"/>
    <w:rsid w:val="00A54305"/>
    <w:rsid w:val="00A63416"/>
    <w:rsid w:val="00A66491"/>
    <w:rsid w:val="00AA1D86"/>
    <w:rsid w:val="00AA4C57"/>
    <w:rsid w:val="00AD008A"/>
    <w:rsid w:val="00AD5B4E"/>
    <w:rsid w:val="00AF4331"/>
    <w:rsid w:val="00B228F3"/>
    <w:rsid w:val="00B54375"/>
    <w:rsid w:val="00B91915"/>
    <w:rsid w:val="00BC5B2F"/>
    <w:rsid w:val="00BC5FAC"/>
    <w:rsid w:val="00C54173"/>
    <w:rsid w:val="00C86242"/>
    <w:rsid w:val="00CD66EF"/>
    <w:rsid w:val="00CF009D"/>
    <w:rsid w:val="00D05425"/>
    <w:rsid w:val="00D16461"/>
    <w:rsid w:val="00D45410"/>
    <w:rsid w:val="00D54AD2"/>
    <w:rsid w:val="00D6235A"/>
    <w:rsid w:val="00D64B72"/>
    <w:rsid w:val="00DA74DA"/>
    <w:rsid w:val="00DC7C0D"/>
    <w:rsid w:val="00DE6E4F"/>
    <w:rsid w:val="00E004D6"/>
    <w:rsid w:val="00E0127B"/>
    <w:rsid w:val="00E2791B"/>
    <w:rsid w:val="00E377D4"/>
    <w:rsid w:val="00E568F5"/>
    <w:rsid w:val="00E716F6"/>
    <w:rsid w:val="00E7287F"/>
    <w:rsid w:val="00E86915"/>
    <w:rsid w:val="00EA5537"/>
    <w:rsid w:val="00EB457C"/>
    <w:rsid w:val="00EC07BF"/>
    <w:rsid w:val="00EE423B"/>
    <w:rsid w:val="00EF1A1A"/>
    <w:rsid w:val="00F00B44"/>
    <w:rsid w:val="00F048C0"/>
    <w:rsid w:val="00F22CA3"/>
    <w:rsid w:val="00F24234"/>
    <w:rsid w:val="00F24EC0"/>
    <w:rsid w:val="00F32A97"/>
    <w:rsid w:val="00F67472"/>
    <w:rsid w:val="00FB0E29"/>
    <w:rsid w:val="00FF44FB"/>
    <w:rsid w:val="03983BE3"/>
    <w:rsid w:val="172C3B77"/>
    <w:rsid w:val="24BD66E3"/>
    <w:rsid w:val="278070EC"/>
    <w:rsid w:val="457C7817"/>
    <w:rsid w:val="45E450BA"/>
    <w:rsid w:val="5C81548C"/>
    <w:rsid w:val="7B42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2"/>
    <w:basedOn w:val="1"/>
    <w:next w:val="1"/>
    <w:link w:val="8"/>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customStyle="1" w:styleId="8">
    <w:name w:val="标题 2 字符"/>
    <w:basedOn w:val="7"/>
    <w:link w:val="2"/>
    <w:qFormat/>
    <w:uiPriority w:val="0"/>
    <w:rPr>
      <w:rFonts w:ascii="宋体" w:hAnsi="宋体" w:eastAsia="宋体" w:cs="Times New Roman"/>
      <w:b/>
      <w:bCs/>
      <w:kern w:val="0"/>
      <w:sz w:val="36"/>
      <w:szCs w:val="36"/>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F2AC4-1C59-4594-8475-D7344248686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2508</Words>
  <Characters>2648</Characters>
  <Lines>315</Lines>
  <Paragraphs>342</Paragraphs>
  <TotalTime>9</TotalTime>
  <ScaleCrop>false</ScaleCrop>
  <LinksUpToDate>false</LinksUpToDate>
  <CharactersWithSpaces>2648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2023-01-04T07:36:00Z</dcterms:created>
  <dc:creator>璜</dc:creator>
  <cp:lastModifiedBy>wanghuang</cp:lastModifiedBy>
  <dcterms:modified xsi:type="dcterms:W3CDTF">2024-06-03T08:09:28Z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9FADABFBD626474798D87D890BEC119E</vt:lpwstr>
  </property>
</Properties>
</file>