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90" w:lineRule="exact"/>
        <w:jc w:val="center"/>
        <w:textAlignment w:val="auto"/>
        <w:rPr>
          <w:rFonts w:ascii="仿宋" w:hAnsi="仿宋" w:eastAsia="仿宋" w:cs="仿宋"/>
          <w:i w:val="0"/>
          <w:iCs w:val="0"/>
          <w:caps w:val="0"/>
          <w:color w:val="333333"/>
          <w:spacing w:val="0"/>
          <w:sz w:val="32"/>
          <w:szCs w:val="32"/>
        </w:rPr>
      </w:pPr>
      <w:r>
        <w:rPr>
          <w:rFonts w:hint="eastAsia" w:ascii="Times New Roman" w:eastAsia="方正小标宋简体" w:cs="Times New Roman"/>
          <w:color w:val="auto"/>
          <w:kern w:val="0"/>
          <w:sz w:val="44"/>
          <w:szCs w:val="44"/>
          <w:highlight w:val="none"/>
          <w:u w:val="none" w:color="auto"/>
          <w:shd w:val="clear" w:color="auto" w:fill="auto"/>
          <w:lang w:val="en-US" w:eastAsia="zh-CN"/>
        </w:rPr>
        <w:t>金寨县汤家汇镇人民政府2022年</w:t>
      </w:r>
      <w:r>
        <w:rPr>
          <w:rFonts w:hint="default" w:ascii="Times New Roman" w:hAnsi="Times New Roman" w:eastAsia="方正小标宋简体" w:cs="Times New Roman"/>
          <w:color w:val="auto"/>
          <w:kern w:val="0"/>
          <w:sz w:val="44"/>
          <w:szCs w:val="44"/>
          <w:highlight w:val="none"/>
          <w:u w:val="none" w:color="auto"/>
          <w:shd w:val="clear" w:color="auto" w:fill="auto"/>
        </w:rPr>
        <w:t>政府信息公开工作年度报告</w:t>
      </w:r>
      <w:r>
        <w:rPr>
          <w:rFonts w:hint="eastAsia" w:ascii="仿宋" w:hAnsi="仿宋" w:eastAsia="仿宋" w:cs="仿宋"/>
          <w:i w:val="0"/>
          <w:iCs w:val="0"/>
          <w:caps w:val="0"/>
          <w:color w:val="333333"/>
          <w:spacing w:val="0"/>
          <w:sz w:val="32"/>
          <w:szCs w:val="32"/>
          <w:shd w:val="clear" w:fill="FFFFFF"/>
        </w:rPr>
        <w:t> </w:t>
      </w: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auto"/>
      </w:pPr>
      <w:r>
        <w:rPr>
          <w:rFonts w:hint="eastAsia" w:ascii="仿宋" w:hAnsi="仿宋" w:eastAsia="仿宋" w:cs="仿宋"/>
          <w:i w:val="0"/>
          <w:iCs w:val="0"/>
          <w:caps w:val="0"/>
          <w:color w:val="000000"/>
          <w:spacing w:val="0"/>
          <w:kern w:val="0"/>
          <w:sz w:val="32"/>
          <w:szCs w:val="32"/>
          <w:shd w:val="clear" w:fill="FFFFFF"/>
          <w:lang w:val="en-US" w:eastAsia="zh-CN" w:bidi="ar"/>
        </w:rPr>
        <w:t>    本报告依据《中华人民共和国政府信息公开条例》（国务院令第711号，以下简称新《条例》）、《六安市政务公开办公室关于做好政府信息公开年度报告编制和发布工作的通知》（六政务公开办〔2022〕53号）和《金寨县政务公开办公室关于做好2022年度政府信息公开年度报告编制和发布工作的通知》（金政公开〔2023〕1号）文件要求编制而成。报告主要包括：总体情况、主动公开政府信息情况、收到和处理政府信息公开申请情况、政府信息公开行政复议及行政诉讼情况、存在的主要问题及改进情况和其他需要报告的事项。本报告中使用数据统计期限为2022年1月1日至12月31日，报告的电子版可在金寨县信息公开网下载。（网址：https:www.ahjinzhai.gov.cn)如对本报告有任何疑问，请与汤家汇镇镇人民政府办公室联系（地址：汤家汇镇富民新街，电话：0564--7739001，邮编：237300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ascii="黑体" w:hAnsi="宋体" w:eastAsia="黑体" w:cs="黑体"/>
          <w:i w:val="0"/>
          <w:iCs w:val="0"/>
          <w:caps w:val="0"/>
          <w:color w:val="333333"/>
          <w:spacing w:val="0"/>
          <w:sz w:val="32"/>
          <w:szCs w:val="32"/>
          <w:shd w:val="clear" w:fill="FFFFFF"/>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3"/>
        <w:jc w:val="both"/>
        <w:textAlignment w:val="auto"/>
        <w:rPr>
          <w:rFonts w:hint="eastAsia" w:ascii="仿宋" w:hAnsi="仿宋" w:eastAsia="仿宋" w:cs="仿宋"/>
          <w:i w:val="0"/>
          <w:iCs w:val="0"/>
          <w:caps w:val="0"/>
          <w:color w:val="333333"/>
          <w:spacing w:val="0"/>
          <w:sz w:val="32"/>
          <w:szCs w:val="32"/>
        </w:rPr>
      </w:pPr>
      <w:r>
        <w:rPr>
          <w:rFonts w:ascii="楷体" w:hAnsi="楷体" w:eastAsia="楷体" w:cs="楷体"/>
          <w:b/>
          <w:bCs/>
          <w:i w:val="0"/>
          <w:iCs w:val="0"/>
          <w:caps w:val="0"/>
          <w:color w:val="000000"/>
          <w:spacing w:val="0"/>
          <w:sz w:val="32"/>
          <w:szCs w:val="32"/>
          <w:shd w:val="clear" w:fill="FFFFFF"/>
        </w:rPr>
        <w:t>（一）主动公开情况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完善制度，推进基层政务公开标准化规范化。按照最新信息公开目录要求，及时调整完善信息公开内容，按时上传政府工作动态，2022年全镇主动公开各类信息2236条，其中镇本级政务信息公开共630条，“两化”试点领域公开信息1606条。通过整合镇便民服务大厅软硬件资源，打造了一处集信息公开、服务展示、查阅办理等于一体的政务公开专区建成了政务公开专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突出重点，落实政务公开关键环节。定期公开财政信息，推进镇预算、决算及相关报表公开，不断加大传达惠民惠农政策和资金发放信息公开力度。落实行政规范性文件格式统一规范工作，按照行政规范性文件格式修改公开信息5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3"/>
        <w:jc w:val="both"/>
        <w:textAlignment w:val="auto"/>
        <w:rPr>
          <w:rFonts w:hint="eastAsia" w:ascii="仿宋" w:hAnsi="仿宋" w:eastAsia="仿宋" w:cs="仿宋"/>
          <w:i w:val="0"/>
          <w:iCs w:val="0"/>
          <w:caps w:val="0"/>
          <w:color w:val="333333"/>
          <w:spacing w:val="0"/>
          <w:sz w:val="32"/>
          <w:szCs w:val="32"/>
        </w:rPr>
      </w:pPr>
      <w:r>
        <w:rPr>
          <w:rFonts w:hint="eastAsia" w:ascii="楷体" w:hAnsi="楷体" w:eastAsia="楷体" w:cs="楷体"/>
          <w:b/>
          <w:bCs/>
          <w:i w:val="0"/>
          <w:iCs w:val="0"/>
          <w:caps w:val="0"/>
          <w:color w:val="000000"/>
          <w:spacing w:val="0"/>
          <w:sz w:val="32"/>
          <w:szCs w:val="32"/>
          <w:shd w:val="clear" w:fill="FFFFFF"/>
        </w:rPr>
        <w:t>（二）依申请公开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2022年，我镇高度重视依申请公开工作，制定依申请公开指南、畅通依申请公开渠道、规范制度和答复格式。本年度，我镇没有收到政府信息公开申请，没有发生有关政府信息公开收费情况，没有发生有关政府信息公开事务的行政复议、行政诉讼案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3"/>
        <w:jc w:val="both"/>
        <w:textAlignment w:val="auto"/>
        <w:rPr>
          <w:rFonts w:hint="eastAsia" w:ascii="仿宋" w:hAnsi="仿宋" w:eastAsia="仿宋" w:cs="仿宋"/>
          <w:i w:val="0"/>
          <w:iCs w:val="0"/>
          <w:caps w:val="0"/>
          <w:color w:val="333333"/>
          <w:spacing w:val="0"/>
          <w:sz w:val="32"/>
          <w:szCs w:val="32"/>
        </w:rPr>
      </w:pPr>
      <w:r>
        <w:rPr>
          <w:rFonts w:hint="eastAsia" w:ascii="楷体" w:hAnsi="楷体" w:eastAsia="楷体" w:cs="楷体"/>
          <w:b/>
          <w:bCs/>
          <w:i w:val="0"/>
          <w:iCs w:val="0"/>
          <w:caps w:val="0"/>
          <w:color w:val="000000"/>
          <w:spacing w:val="0"/>
          <w:sz w:val="32"/>
          <w:szCs w:val="32"/>
          <w:shd w:val="clear" w:fill="FFFFFF"/>
        </w:rPr>
        <w:t>（三）政府信息管理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严格落实“三审”制度，加强政府网站内容建设和信息发布审核，把好政治关、政策关、文字关。根据政府信息管理规范化标准化建设要求，加大数据公开力度，做到“应公开尽公开”。进一步健全政务信息发布审核机制，指定专人专岗负责信息发布工作，同时明确各线各办信息员协同把关发布内容，加强监督指导，高质量推进政府信息公开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3"/>
        <w:jc w:val="both"/>
        <w:textAlignment w:val="auto"/>
        <w:rPr>
          <w:rFonts w:hint="eastAsia" w:ascii="仿宋" w:hAnsi="仿宋" w:eastAsia="仿宋" w:cs="仿宋"/>
          <w:i w:val="0"/>
          <w:iCs w:val="0"/>
          <w:caps w:val="0"/>
          <w:color w:val="333333"/>
          <w:spacing w:val="0"/>
          <w:sz w:val="32"/>
          <w:szCs w:val="32"/>
        </w:rPr>
      </w:pPr>
      <w:r>
        <w:rPr>
          <w:rFonts w:hint="eastAsia" w:ascii="楷体" w:hAnsi="楷体" w:eastAsia="楷体" w:cs="楷体"/>
          <w:b/>
          <w:bCs/>
          <w:i w:val="0"/>
          <w:iCs w:val="0"/>
          <w:caps w:val="0"/>
          <w:color w:val="000000"/>
          <w:spacing w:val="0"/>
          <w:sz w:val="32"/>
          <w:szCs w:val="32"/>
          <w:shd w:val="clear" w:fill="FFFFFF"/>
        </w:rPr>
        <w:t>（四）政府信息公开平台建设情况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2022年，我镇致力打造政务公开形式多样化，以门户网站为政府信息公开的第一平台，建成了线下政务公开专区，积极做好重点领域政务公开、政策解读等工作，及时回应群众关切的热点问题，2022年12月，申请注册了“红色小镇汤家汇”微信公众号，并按照县网信办的要求进行了备案，同时指定专人负责日常管理及运营，定期发布、转发相关政府信息以及涉及广大人民群众切身利益的信息，让群众第一时间知晓政府的工作动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3"/>
        <w:jc w:val="both"/>
        <w:textAlignment w:val="auto"/>
        <w:rPr>
          <w:rFonts w:hint="eastAsia" w:ascii="仿宋" w:hAnsi="仿宋" w:eastAsia="仿宋" w:cs="仿宋"/>
          <w:i w:val="0"/>
          <w:iCs w:val="0"/>
          <w:caps w:val="0"/>
          <w:color w:val="333333"/>
          <w:spacing w:val="0"/>
          <w:sz w:val="32"/>
          <w:szCs w:val="32"/>
        </w:rPr>
      </w:pPr>
      <w:r>
        <w:rPr>
          <w:rFonts w:hint="eastAsia" w:ascii="楷体" w:hAnsi="楷体" w:eastAsia="楷体" w:cs="楷体"/>
          <w:b/>
          <w:bCs/>
          <w:i w:val="0"/>
          <w:iCs w:val="0"/>
          <w:caps w:val="0"/>
          <w:color w:val="000000"/>
          <w:spacing w:val="0"/>
          <w:sz w:val="32"/>
          <w:szCs w:val="32"/>
          <w:shd w:val="clear" w:fill="FFFFFF"/>
        </w:rPr>
        <w:t>（五）监督保障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加强领导，形成有力组织保障，成立政务公开领导小组，实行政务公开责任制。建立健全工作考核机制，加强组织领导，落实专人负责日常监督检查工作。第一时间抓好问题整改，不断强化日常管理，在主动公开政府信息过程中，做到“上网信息不涉密，涉密信息不上网”。完成了监督保障的各项责任要求，社会评议良好，未产生责任追究相关问题和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二、主动公开政府信息情况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05"/>
        <w:gridCol w:w="2105"/>
        <w:gridCol w:w="2105"/>
        <w:gridCol w:w="2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本年</w:t>
            </w:r>
            <w:r>
              <w:rPr>
                <w:rFonts w:hint="eastAsia" w:ascii="宋体" w:hAnsi="宋体" w:eastAsia="宋体" w:cs="宋体"/>
                <w:sz w:val="20"/>
                <w:szCs w:val="20"/>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现行有效件</w:t>
            </w:r>
            <w:r>
              <w:rPr>
                <w:rFonts w:hint="eastAsia" w:ascii="宋体" w:hAnsi="宋体" w:eastAsia="宋体" w:cs="宋体"/>
                <w:sz w:val="20"/>
                <w:szCs w:val="20"/>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9"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color w:val="000000"/>
                <w:sz w:val="20"/>
                <w:szCs w:val="20"/>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color w:val="000000"/>
                <w:sz w:val="20"/>
                <w:szCs w:val="20"/>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lang w:eastAsia="zh-CN"/>
              </w:rPr>
            </w:pPr>
            <w:r>
              <w:rPr>
                <w:rFonts w:hint="eastAsia" w:ascii="宋体" w:hAnsi="宋体" w:eastAsia="宋体" w:cs="宋体"/>
                <w:color w:val="000000"/>
                <w:sz w:val="20"/>
                <w:szCs w:val="20"/>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lang w:eastAsia="zh-CN"/>
              </w:rPr>
            </w:pPr>
            <w:r>
              <w:rPr>
                <w:rFonts w:hint="eastAsia" w:ascii="宋体" w:hAnsi="宋体" w:eastAsia="宋体" w:cs="宋体"/>
                <w:color w:val="000000"/>
                <w:sz w:val="20"/>
                <w:szCs w:val="20"/>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lang w:eastAsia="zh-CN"/>
              </w:rPr>
            </w:pPr>
            <w:r>
              <w:rPr>
                <w:rFonts w:hint="eastAsia" w:ascii="宋体" w:hAnsi="宋体" w:eastAsia="宋体" w:cs="宋体"/>
                <w:color w:val="000000"/>
                <w:sz w:val="20"/>
                <w:szCs w:val="20"/>
                <w:lang w:val="en-US" w:eastAsia="zh-CN"/>
              </w:rPr>
              <w:t>0</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color w:val="000000"/>
                <w:sz w:val="20"/>
                <w:szCs w:val="20"/>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ascii="Calibri" w:hAnsi="Calibri" w:eastAsia="仿宋" w:cs="Calibri"/>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4"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color w:val="000000"/>
                <w:sz w:val="20"/>
                <w:szCs w:val="20"/>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color w:val="000000"/>
                <w:sz w:val="20"/>
                <w:szCs w:val="20"/>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color w:val="000000"/>
                <w:sz w:val="20"/>
                <w:szCs w:val="20"/>
              </w:rPr>
              <w:t>行政事业性收费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三、收到和处理政府信息公开申请情况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 </w:t>
      </w:r>
    </w:p>
    <w:tbl>
      <w:tblPr>
        <w:tblStyle w:val="3"/>
        <w:tblW w:w="974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楷体" w:hAnsi="楷体" w:eastAsia="楷体" w:cs="楷体"/>
                <w:sz w:val="20"/>
                <w:szCs w:val="2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0"/>
                <w:szCs w:val="20"/>
              </w:rPr>
            </w:pPr>
          </w:p>
        </w:tc>
        <w:tc>
          <w:tcPr>
            <w:tcW w:w="688" w:type="dxa"/>
            <w:vMerge w:val="restart"/>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自然人</w:t>
            </w:r>
          </w:p>
        </w:tc>
        <w:tc>
          <w:tcPr>
            <w:tcW w:w="3440" w:type="dxa"/>
            <w:gridSpan w:val="5"/>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法人或其他组织</w:t>
            </w:r>
          </w:p>
        </w:tc>
        <w:tc>
          <w:tcPr>
            <w:tcW w:w="688" w:type="dxa"/>
            <w:vMerge w:val="restart"/>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0"/>
                <w:szCs w:val="20"/>
              </w:rPr>
            </w:pPr>
          </w:p>
        </w:tc>
        <w:tc>
          <w:tcPr>
            <w:tcW w:w="688" w:type="dxa"/>
            <w:vMerge w:val="continue"/>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688" w:type="dxa"/>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企业</w:t>
            </w:r>
          </w:p>
        </w:tc>
        <w:tc>
          <w:tcPr>
            <w:tcW w:w="688" w:type="dxa"/>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机构</w:t>
            </w:r>
          </w:p>
        </w:tc>
        <w:tc>
          <w:tcPr>
            <w:tcW w:w="688" w:type="dxa"/>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社会公益组织</w:t>
            </w:r>
          </w:p>
        </w:tc>
        <w:tc>
          <w:tcPr>
            <w:tcW w:w="688" w:type="dxa"/>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法律服务机构</w:t>
            </w:r>
          </w:p>
        </w:tc>
        <w:tc>
          <w:tcPr>
            <w:tcW w:w="688" w:type="dxa"/>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其他</w:t>
            </w:r>
          </w:p>
        </w:tc>
        <w:tc>
          <w:tcPr>
            <w:tcW w:w="688"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restart"/>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三、本年度办理结果</w:t>
            </w: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（二）部分公开</w:t>
            </w:r>
            <w:r>
              <w:rPr>
                <w:rFonts w:hint="eastAsia" w:ascii="楷体" w:hAnsi="楷体" w:eastAsia="楷体" w:cs="楷体"/>
                <w:sz w:val="20"/>
                <w:szCs w:val="20"/>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200"/>
              <w:jc w:val="both"/>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（三）不予公开</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restart"/>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（四）无法提供</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restart"/>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（五）不予处理</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 w:hAnsi="仿宋" w:eastAsia="仿宋" w:cs="仿宋"/>
                <w:sz w:val="32"/>
                <w:szCs w:val="32"/>
              </w:rPr>
            </w:pPr>
            <w:r>
              <w:rPr>
                <w:rFonts w:hint="eastAsia" w:ascii="宋体" w:hAnsi="宋体" w:eastAsia="宋体" w:cs="宋体"/>
                <w:sz w:val="20"/>
                <w:szCs w:val="20"/>
              </w:rPr>
              <w:t>5.要求行政机关确认或重新出具已获取信息</w:t>
            </w:r>
          </w:p>
        </w:tc>
        <w:tc>
          <w:tcPr>
            <w:tcW w:w="688" w:type="dxa"/>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88" w:type="dxa"/>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88" w:type="dxa"/>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restart"/>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（六）其他处理</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 w:hAnsi="仿宋" w:eastAsia="仿宋" w:cs="仿宋"/>
                <w:sz w:val="32"/>
                <w:szCs w:val="32"/>
              </w:rPr>
            </w:pPr>
            <w:r>
              <w:rPr>
                <w:rFonts w:hint="eastAsia" w:ascii="宋体" w:hAnsi="宋体" w:eastAsia="宋体" w:cs="宋体"/>
                <w:sz w:val="20"/>
                <w:szCs w:val="20"/>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 w:hAnsi="仿宋" w:eastAsia="仿宋" w:cs="仿宋"/>
                <w:sz w:val="32"/>
                <w:szCs w:val="32"/>
              </w:rPr>
            </w:pPr>
            <w:r>
              <w:rPr>
                <w:rFonts w:hint="eastAsia" w:ascii="宋体" w:hAnsi="宋体" w:eastAsia="宋体" w:cs="宋体"/>
                <w:sz w:val="20"/>
                <w:szCs w:val="2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sz w:val="20"/>
                <w:szCs w:val="20"/>
              </w:rPr>
            </w:pP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 w:hAnsi="仿宋" w:eastAsia="仿宋" w:cs="仿宋"/>
                <w:sz w:val="32"/>
                <w:szCs w:val="32"/>
              </w:rPr>
            </w:pPr>
            <w:r>
              <w:rPr>
                <w:rFonts w:hint="eastAsia" w:ascii="宋体" w:hAnsi="宋体" w:eastAsia="宋体" w:cs="宋体"/>
                <w:sz w:val="20"/>
                <w:szCs w:val="20"/>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 w:hAnsi="仿宋" w:eastAsia="仿宋" w:cs="仿宋"/>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四、政府信息公开行政复议、行政诉讼情况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 w:hAnsi="仿宋" w:eastAsia="仿宋" w:cs="仿宋"/>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 </w:t>
      </w:r>
    </w:p>
    <w:tbl>
      <w:tblPr>
        <w:tblStyle w:val="3"/>
        <w:tblW w:w="974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0"/>
        <w:gridCol w:w="650"/>
        <w:gridCol w:w="650"/>
        <w:gridCol w:w="650"/>
        <w:gridCol w:w="65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行政复议</w:t>
            </w:r>
          </w:p>
        </w:tc>
        <w:tc>
          <w:tcPr>
            <w:tcW w:w="6498"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结果维持</w:t>
            </w:r>
          </w:p>
        </w:tc>
        <w:tc>
          <w:tcPr>
            <w:tcW w:w="64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总计</w:t>
            </w:r>
          </w:p>
        </w:tc>
        <w:tc>
          <w:tcPr>
            <w:tcW w:w="3248"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未经复议直接起诉</w:t>
            </w:r>
          </w:p>
        </w:tc>
        <w:tc>
          <w:tcPr>
            <w:tcW w:w="325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0"/>
                <w:szCs w:val="20"/>
              </w:rPr>
            </w:pPr>
          </w:p>
        </w:tc>
        <w:tc>
          <w:tcPr>
            <w:tcW w:w="64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sz w:val="20"/>
                <w:szCs w:val="20"/>
              </w:rPr>
            </w:pP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维持</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总计</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维持</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其他</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结果</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color w:val="000000"/>
                <w:sz w:val="20"/>
                <w:szCs w:val="20"/>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12"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default" w:ascii="Calibri" w:hAnsi="Calibri" w:eastAsia="仿宋"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 w:hAnsi="仿宋" w:eastAsia="仿宋" w:cs="仿宋"/>
                <w:sz w:val="32"/>
                <w:szCs w:val="32"/>
              </w:rPr>
            </w:pPr>
            <w:r>
              <w:rPr>
                <w:rFonts w:hint="eastAsia" w:ascii="宋体" w:hAnsi="宋体" w:eastAsia="宋体" w:cs="宋体"/>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480"/>
        <w:jc w:val="both"/>
        <w:textAlignment w:val="auto"/>
        <w:rPr>
          <w:rFonts w:hint="eastAsia" w:ascii="仿宋" w:hAnsi="仿宋" w:eastAsia="仿宋" w:cs="仿宋"/>
          <w:i w:val="0"/>
          <w:iCs w:val="0"/>
          <w:caps w:val="0"/>
          <w:color w:val="333333"/>
          <w:spacing w:val="0"/>
          <w:sz w:val="32"/>
          <w:szCs w:val="32"/>
        </w:rPr>
      </w:pPr>
      <w:r>
        <w:rPr>
          <w:rFonts w:hint="eastAsia" w:ascii="黑体" w:hAnsi="宋体" w:eastAsia="黑体" w:cs="黑体"/>
          <w:i w:val="0"/>
          <w:iCs w:val="0"/>
          <w:caps w:val="0"/>
          <w:color w:val="000000"/>
          <w:spacing w:val="0"/>
          <w:sz w:val="32"/>
          <w:szCs w:val="32"/>
          <w:shd w:val="clear" w:fill="FFFFFF"/>
        </w:rPr>
        <w:t>五、政府信息公开工作存在的主要问题及改进情况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480"/>
        <w:jc w:val="both"/>
        <w:textAlignment w:val="auto"/>
        <w:rPr>
          <w:rFonts w:hint="eastAsia" w:ascii="仿宋" w:hAnsi="仿宋" w:eastAsia="仿宋" w:cs="仿宋"/>
          <w:i w:val="0"/>
          <w:iCs w:val="0"/>
          <w:caps w:val="0"/>
          <w:color w:val="333333"/>
          <w:spacing w:val="0"/>
          <w:sz w:val="32"/>
          <w:szCs w:val="32"/>
        </w:rPr>
      </w:pPr>
      <w:r>
        <w:rPr>
          <w:rFonts w:hint="eastAsia" w:ascii="楷体" w:hAnsi="楷体" w:eastAsia="楷体" w:cs="楷体"/>
          <w:i w:val="0"/>
          <w:iCs w:val="0"/>
          <w:caps w:val="0"/>
          <w:color w:val="000000"/>
          <w:spacing w:val="0"/>
          <w:sz w:val="32"/>
          <w:szCs w:val="32"/>
          <w:shd w:val="clear" w:fill="FFFFFF"/>
        </w:rPr>
        <w:t>（一）存在的问题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2022年，汤家汇镇人民政府信息公开工作虽然取得较好成效，但存在以下问题：一是工作机制有待完善。我镇政府信息公开工作制度仍待进一步完善，各部门对政务公开工作的配合程度还不够高。二是业务能力还不够强。规范化开展政务公开的能力还不够强，对政务公开的细则和细节把握的不够，办理效率有待提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420"/>
        <w:jc w:val="left"/>
        <w:textAlignment w:val="auto"/>
        <w:rPr>
          <w:rFonts w:ascii="微软雅黑" w:hAnsi="微软雅黑" w:eastAsia="微软雅黑" w:cs="微软雅黑"/>
          <w:i w:val="0"/>
          <w:iCs w:val="0"/>
          <w:caps w:val="0"/>
          <w:color w:val="333333"/>
          <w:spacing w:val="0"/>
          <w:sz w:val="24"/>
          <w:szCs w:val="24"/>
        </w:rPr>
      </w:pPr>
      <w:r>
        <w:rPr>
          <w:rFonts w:hint="eastAsia" w:ascii="楷体" w:hAnsi="楷体" w:eastAsia="楷体" w:cs="楷体"/>
          <w:i w:val="0"/>
          <w:iCs w:val="0"/>
          <w:caps w:val="0"/>
          <w:color w:val="000000"/>
          <w:spacing w:val="0"/>
          <w:sz w:val="32"/>
          <w:szCs w:val="32"/>
          <w:shd w:val="clear" w:fill="FFFFFF"/>
        </w:rPr>
        <w:t>（二）改进情况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420"/>
        <w:jc w:val="left"/>
        <w:textAlignment w:val="auto"/>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fill="FFFFFF"/>
        </w:rPr>
        <w:t> 一是制定完善了《金寨县汤家汇镇2022年政务公开工作考核制度》《金寨县汤家汇镇2022年政务公开工作实施方案》等制度，召开多次政务公开专项推进会，明确各部门职责分工，加强协调合作。二是召开各部门经办人员培训会，对考核测评指标进行分析、梳理，深入解读考核内容，并积极做好与县政务公开办的对接，政务公开业务能力有了明显提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left"/>
        <w:textAlignment w:val="auto"/>
        <w:rPr>
          <w:rFonts w:hint="default" w:ascii="Times New Roman" w:hAnsi="Times New Roman" w:cs="Times New Roman"/>
          <w:i w:val="0"/>
          <w:iCs w:val="0"/>
          <w:caps w:val="0"/>
          <w:color w:val="333333"/>
          <w:spacing w:val="0"/>
          <w:sz w:val="24"/>
          <w:szCs w:val="24"/>
        </w:rPr>
      </w:pPr>
      <w:r>
        <w:rPr>
          <w:rFonts w:hint="eastAsia" w:ascii="楷体" w:hAnsi="楷体" w:eastAsia="楷体" w:cs="楷体"/>
          <w:i w:val="0"/>
          <w:iCs w:val="0"/>
          <w:caps w:val="0"/>
          <w:color w:val="000000"/>
          <w:spacing w:val="0"/>
          <w:sz w:val="32"/>
          <w:szCs w:val="32"/>
          <w:shd w:val="clear" w:fill="FFFFFF"/>
        </w:rPr>
        <w:t>（三）下一步打算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left"/>
        <w:textAlignment w:val="auto"/>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 一是</w:t>
      </w:r>
      <w:r>
        <w:rPr>
          <w:rFonts w:hint="eastAsia" w:ascii="仿宋" w:hAnsi="仿宋" w:eastAsia="仿宋" w:cs="仿宋"/>
          <w:i w:val="0"/>
          <w:iCs w:val="0"/>
          <w:caps w:val="0"/>
          <w:color w:val="000000"/>
          <w:spacing w:val="0"/>
          <w:sz w:val="32"/>
          <w:szCs w:val="32"/>
          <w:shd w:val="clear" w:fill="FFFFFF"/>
        </w:rPr>
        <w:t>加强培训，在提高认识上下功夫。重点组织学习《中华人民共和国政府信息公开条例》等有关政务公开的法律、法规和政策，使其充分认识到政务公开的重要性和紧迫性，消除认识上的误区和片面性。二是加强热点公开，在贴近群众上下功夫。政务公开的热点是人、财、物公开，必须及时公开，使群众了解主要内容，接受群众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黑体" w:hAnsi="宋体" w:eastAsia="黑体" w:cs="黑体"/>
          <w:i w:val="0"/>
          <w:iCs w:val="0"/>
          <w:caps w:val="0"/>
          <w:color w:val="000000"/>
          <w:spacing w:val="0"/>
          <w:sz w:val="32"/>
          <w:szCs w:val="32"/>
          <w:shd w:val="clear" w:fill="FFFFFF"/>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按照《国务院办公厅关于印发〈政府信息公开信息处理费管理办法〉的通知》（国办函〔2020〕109号）规定的按件、按量收费标准，本年度没有产生信息公开处理费。</w:t>
      </w:r>
    </w:p>
    <w:p>
      <w:pPr>
        <w:keepNext w:val="0"/>
        <w:keepLines w:val="0"/>
        <w:pageBreakBefore w:val="0"/>
        <w:kinsoku/>
        <w:wordWrap/>
        <w:overflowPunct/>
        <w:topLinePunct w:val="0"/>
        <w:autoSpaceDE/>
        <w:autoSpaceDN/>
        <w:bidi w:val="0"/>
        <w:adjustRightInd/>
        <w:snapToGrid/>
        <w:spacing w:line="59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4MmM2NTUyYmJmOTE1MmI5YzRkNTM3NWRhYzU1MDMifQ=="/>
  </w:docVars>
  <w:rsids>
    <w:rsidRoot w:val="57110FBB"/>
    <w:rsid w:val="0ABF3E2E"/>
    <w:rsid w:val="57110FBB"/>
    <w:rsid w:val="64E12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2745</Words>
  <Characters>2865</Characters>
  <Lines>0</Lines>
  <Paragraphs>0</Paragraphs>
  <TotalTime>1</TotalTime>
  <ScaleCrop>false</ScaleCrop>
  <LinksUpToDate>false</LinksUpToDate>
  <CharactersWithSpaces>3038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2024-02-21T01:46:00Z</dcterms:created>
  <dc:creator>WPS_1693875625</dc:creator>
  <cp:lastModifiedBy>Demon</cp:lastModifiedBy>
  <dcterms:modified xsi:type="dcterms:W3CDTF">2024-06-03T08:45:50Z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7945FBC773264FE5BB3B630183CAB209_11</vt:lpwstr>
  </property>
</Properties>
</file>