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ind w:left="0" w:right="0" w:firstLine="640" w:firstLineChars="200"/>
        <w:jc w:val="left"/>
      </w:pPr>
      <w:r>
        <w:rPr>
          <w:rFonts w:ascii="仿宋_GB2312" w:eastAsia="仿宋_GB2312" w:cs="仿宋_GB2312" w:hAnsiTheme="minorHAnsi"/>
          <w:kern w:val="2"/>
          <w:sz w:val="32"/>
          <w:szCs w:val="32"/>
          <w:lang w:val="en-US" w:eastAsia="zh-CN" w:bidi="ar"/>
        </w:rPr>
        <w:t>本报告依据《中华人民共和国政府信息公开条例》（国务院令第</w:t>
      </w:r>
      <w:r>
        <w:rPr>
          <w:rFonts w:hint="eastAsia" w:ascii="仿宋_GB2312" w:eastAsia="仿宋_GB2312" w:cs="仿宋_GB2312" w:hAnsiTheme="minorHAnsi"/>
          <w:kern w:val="2"/>
          <w:sz w:val="32"/>
          <w:szCs w:val="32"/>
          <w:lang w:val="en-US" w:eastAsia="zh-CN" w:bidi="ar"/>
        </w:rPr>
        <w:t>711号，以下简称新《条例》）、《六安市政务公开办公室关于做好2022年度政府信息公开年度报告编制和发布工作的通知》（六政务公开办〔2022〕53号）和《金寨县政务公开办公室关于做好2022年度政府信息公开年度报告编制和发布工作的通知》（金政公开〔2023〕1号）文件要求编制而成。报告主要包括：总体情况、主动公开政府信息情况、收到和处理政府信息公开申请情况、因政府信息公开被申请行政复议和提起行政诉讼情况、政府信息公开工作存在主要问题及改进情况和其他需要报告事项。公开内容中使用数据统计时限为2022年1月1日至12月31日，报告将以全文电子版的形式在政府信息公开网上发布。可在金寨县信息公开网下载。如对本报告有任何疑问和咨询，请与金寨县燕子河镇人民政府党政办联系（地址：金寨县燕子河镇街道，电话：0564--7515136，邮编：237300，传真：0564--7515135，电子邮箱：jzxyzhdzb@126.com）。</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ascii="黑体" w:hAnsi="宋体" w:eastAsia="黑体" w:cs="黑体"/>
          <w:kern w:val="2"/>
          <w:sz w:val="32"/>
          <w:szCs w:val="32"/>
          <w:lang w:val="en-US" w:eastAsia="zh-CN" w:bidi="ar"/>
        </w:rPr>
        <w:t>一、总体情况</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仿宋_GB2312" w:eastAsia="仿宋_GB2312" w:cs="仿宋_GB2312" w:hAnsiTheme="minorHAnsi"/>
          <w:kern w:val="2"/>
          <w:sz w:val="32"/>
          <w:szCs w:val="32"/>
          <w:lang w:val="en-US" w:eastAsia="zh-CN" w:bidi="ar"/>
        </w:rPr>
        <w:t>2022年，我镇根据党中央、国务院、省、市、县关于开展政府信息公开工作相关要求及统一部署，我镇结合本地实际并在省、市、县政务公开办的坚强领导下，我镇政府信息公开工作坚持以公开为常态、不公开为例外，遵循公正、公平、合法、便民的原则。创新公开方式，严格考核监督，严格落实政务公开各项内容要求，取得了较为明显的社会成效。</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ascii="楷体_GB2312" w:eastAsia="楷体_GB2312" w:cs="楷体_GB2312" w:hAnsiTheme="minorHAnsi"/>
          <w:b/>
          <w:bCs/>
          <w:kern w:val="2"/>
          <w:sz w:val="32"/>
          <w:szCs w:val="32"/>
          <w:lang w:val="en-US" w:eastAsia="zh-CN" w:bidi="ar"/>
        </w:rPr>
        <w:t>（一）主动公开情况</w:t>
      </w:r>
      <w:r>
        <w:rPr>
          <w:rFonts w:hint="eastAsia" w:ascii="楷体_GB2312" w:eastAsia="楷体_GB2312" w:cs="楷体_GB2312" w:hAnsiTheme="minorHAnsi"/>
          <w:b/>
          <w:bCs/>
          <w:kern w:val="2"/>
          <w:sz w:val="32"/>
          <w:szCs w:val="32"/>
          <w:lang w:val="en-US" w:eastAsia="zh-CN" w:bidi="ar"/>
        </w:rPr>
        <w:t>。</w:t>
      </w:r>
      <w:r>
        <w:rPr>
          <w:rFonts w:hint="eastAsia" w:ascii="仿宋_GB2312" w:eastAsia="仿宋_GB2312" w:cs="仿宋_GB2312" w:hAnsiTheme="minorHAnsi"/>
          <w:kern w:val="2"/>
          <w:sz w:val="32"/>
          <w:szCs w:val="32"/>
          <w:lang w:val="en-US" w:eastAsia="zh-CN" w:bidi="ar"/>
        </w:rPr>
        <w:t>2022年度，主动公开政府信息4329条（基层政务公开标准化规范化试点公开信息2923条），在政府信息主动公开过程中，我镇重点对财政资金、村务公开、政府规划、政策解读、回应关切等工作进行了信息公布。2022年，财政资金信息共公开62条；共公开村务公开信息共997余条；共公开政府规划相关信息10余条；全年政策解读共解读了6条；主动回应群众关切的问题21项。做到及时、准确、公开、透明。</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楷体_GB2312" w:eastAsia="楷体_GB2312" w:cs="楷体_GB2312" w:hAnsiTheme="minorHAnsi"/>
          <w:b/>
          <w:bCs/>
          <w:kern w:val="2"/>
          <w:sz w:val="32"/>
          <w:szCs w:val="32"/>
          <w:lang w:val="en-US" w:eastAsia="zh-CN" w:bidi="ar"/>
        </w:rPr>
        <w:t>（二）依申请公开。</w:t>
      </w:r>
      <w:r>
        <w:rPr>
          <w:rFonts w:hint="eastAsia" w:ascii="仿宋_GB2312" w:eastAsia="仿宋_GB2312" w:cs="仿宋_GB2312" w:hAnsiTheme="minorHAnsi"/>
          <w:kern w:val="2"/>
          <w:sz w:val="32"/>
          <w:szCs w:val="32"/>
          <w:lang w:val="en-US" w:eastAsia="zh-CN" w:bidi="ar"/>
        </w:rPr>
        <w:t>2022年，我镇认真贯彻实施《政府信息公开条例》，进一步完善了政府信息公开依申请公开的制度流程以及时限，并探索拓展依申请公开形式的方式方法。自2022年1月1日起至2022年12月31日止，我镇共收到公开申请0条，予以公开0条，总计公开0条。</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楷体_GB2312" w:eastAsia="楷体_GB2312" w:cs="楷体_GB2312" w:hAnsiTheme="minorHAnsi"/>
          <w:b/>
          <w:bCs/>
          <w:kern w:val="2"/>
          <w:sz w:val="32"/>
          <w:szCs w:val="32"/>
          <w:lang w:val="en-US" w:eastAsia="zh-CN" w:bidi="ar"/>
        </w:rPr>
        <w:t>（三）政府信息管理。</w:t>
      </w:r>
      <w:r>
        <w:rPr>
          <w:rFonts w:hint="eastAsia" w:ascii="仿宋_GB2312" w:eastAsia="仿宋_GB2312" w:cs="仿宋_GB2312" w:hAnsiTheme="minorHAnsi"/>
          <w:kern w:val="2"/>
          <w:sz w:val="32"/>
          <w:szCs w:val="32"/>
          <w:lang w:val="en-US" w:eastAsia="zh-CN" w:bidi="ar"/>
        </w:rPr>
        <w:t>我镇严格执行个人隐私排查及信息保密审查制度，严格执行“三审”制度，尤其对规范表述、错敏词汇等内容细致把关，确保个人隐私不泄露，保密信息不公开。在镇便民服务中心建设政务公开专区，2022年共接待群众查询866人余次。</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楷体_GB2312" w:eastAsia="楷体_GB2312" w:cs="楷体_GB2312" w:hAnsiTheme="minorHAnsi"/>
          <w:b/>
          <w:bCs/>
          <w:kern w:val="2"/>
          <w:sz w:val="32"/>
          <w:szCs w:val="32"/>
          <w:lang w:val="en-US" w:eastAsia="zh-CN" w:bidi="ar"/>
        </w:rPr>
        <w:t>（四）政府信息公开平台建设情况。</w:t>
      </w:r>
      <w:r>
        <w:rPr>
          <w:rFonts w:hint="eastAsia" w:ascii="仿宋_GB2312" w:eastAsia="仿宋_GB2312" w:cs="仿宋_GB2312" w:hAnsiTheme="minorHAnsi"/>
          <w:kern w:val="2"/>
          <w:sz w:val="32"/>
          <w:szCs w:val="32"/>
          <w:lang w:val="en-US" w:eastAsia="zh-CN" w:bidi="ar"/>
        </w:rPr>
        <w:t>根据上级文件关于政府网站集约化建设工作的要求，对两化专题新增自然资源和交通运输领域，完成信息录入和完善工作，对于村务公开积极增补信息。完成政务公开专区功能分区建设，优化政务信息公开便民服务。</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楷体_GB2312" w:eastAsia="楷体_GB2312" w:cs="楷体_GB2312" w:hAnsiTheme="minorHAnsi"/>
          <w:b/>
          <w:bCs/>
          <w:kern w:val="2"/>
          <w:sz w:val="32"/>
          <w:szCs w:val="32"/>
          <w:lang w:val="en-US" w:eastAsia="zh-CN" w:bidi="ar"/>
        </w:rPr>
        <w:t>（五）监督保障。</w:t>
      </w:r>
      <w:r>
        <w:rPr>
          <w:rFonts w:hint="eastAsia" w:ascii="仿宋_GB2312" w:eastAsia="仿宋_GB2312" w:cs="仿宋_GB2312" w:hAnsiTheme="minorHAnsi"/>
          <w:kern w:val="2"/>
          <w:sz w:val="32"/>
          <w:szCs w:val="32"/>
          <w:lang w:val="en-US" w:eastAsia="zh-CN" w:bidi="ar"/>
        </w:rPr>
        <w:t>我镇调整充实工作领导小组，以专人专岗定时定位定量发布信息，做好网站的日常维护、信息管理、依申请公开等相关工作。充分利用市、县对我镇政务信息公开网站的考核结果，有效落实整改工作。派遣政务公开经办人积极参与县政府办组织的业务培训会，跟进学习政务公开发布细节与要点。我镇继续有效利用信息公开监督电话和举报信箱，引导和鼓励干部群众积极参与和支持我镇政务信息公开工作监督。2022年全年未收到投诉举报，社会评议良好，未产生责任追究事项。有效改善了上报信息不及时、细节要点未把握、格式内容不规范、数据信息不全面等问题，提升了全镇政府信息公开的整体水平。</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黑体" w:hAnsi="宋体" w:eastAsia="黑体" w:cs="黑体"/>
          <w:kern w:val="2"/>
          <w:sz w:val="32"/>
          <w:szCs w:val="32"/>
          <w:lang w:val="en-US" w:eastAsia="zh-CN" w:bidi="ar"/>
        </w:rPr>
        <w:t>二、主动公开政府信息情况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75"/>
        <w:gridCol w:w="2126"/>
        <w:gridCol w:w="2126"/>
        <w:gridCol w:w="2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w:t>
            </w:r>
            <w:r>
              <w:rPr>
                <w:rFonts w:hint="eastAsia" w:ascii="宋体" w:hAnsi="宋体" w:eastAsia="宋体" w:cs="宋体"/>
                <w:kern w:val="0"/>
                <w:sz w:val="20"/>
                <w:szCs w:val="20"/>
                <w:bdr w:val="none" w:color="auto" w:sz="0" w:space="0"/>
                <w:lang w:val="en-US" w:eastAsia="zh-CN" w:bidi="ar"/>
              </w:rPr>
              <w:t>制发件数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现行有效件</w:t>
            </w:r>
            <w:r>
              <w:rPr>
                <w:rFonts w:hint="eastAsia" w:ascii="宋体" w:hAnsi="宋体" w:eastAsia="宋体" w:cs="宋体"/>
                <w:kern w:val="0"/>
                <w:sz w:val="20"/>
                <w:szCs w:val="20"/>
                <w:bdr w:val="none" w:color="auto" w:sz="0" w:space="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规章</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  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  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行政规范性文件</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0</w:t>
            </w:r>
          </w:p>
        </w:tc>
        <w:tc>
          <w:tcPr>
            <w:tcW w:w="2435"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行政许可</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ascii="Calibri" w:hAnsi="Calibri" w:eastAsia="仿宋_GB2312" w:cs="Calibri"/>
                <w:kern w:val="0"/>
                <w:sz w:val="21"/>
                <w:szCs w:val="21"/>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行政处罚</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行政强制</w:t>
            </w:r>
          </w:p>
        </w:tc>
        <w:tc>
          <w:tcPr>
            <w:tcW w:w="7305"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信息内容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color w:val="000000"/>
                <w:kern w:val="0"/>
                <w:sz w:val="20"/>
                <w:szCs w:val="20"/>
                <w:bdr w:val="none" w:color="auto" w:sz="0" w:space="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color w:val="000000"/>
                <w:kern w:val="0"/>
                <w:sz w:val="20"/>
                <w:szCs w:val="20"/>
                <w:bdr w:val="none" w:color="auto" w:sz="0" w:space="0"/>
                <w:lang w:val="en-US" w:eastAsia="zh-CN" w:bidi="ar"/>
              </w:rPr>
              <w:t>行政事业性收费</w:t>
            </w:r>
          </w:p>
        </w:tc>
        <w:tc>
          <w:tcPr>
            <w:tcW w:w="7305" w:type="dxa"/>
            <w:gridSpan w:val="3"/>
            <w:tcBorders>
              <w:top w:val="nil"/>
              <w:left w:val="nil"/>
              <w:bottom w:val="single" w:color="auto" w:sz="8" w:space="0"/>
              <w:right w:val="single" w:color="000000"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0</w:t>
            </w:r>
          </w:p>
        </w:tc>
      </w:tr>
    </w:tbl>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黑体" w:hAnsi="宋体" w:eastAsia="黑体" w:cs="黑体"/>
          <w:kern w:val="2"/>
          <w:sz w:val="32"/>
          <w:szCs w:val="32"/>
          <w:lang w:val="en-US" w:eastAsia="zh-CN" w:bidi="ar"/>
        </w:rPr>
        <w:t>三、收到和处理政府信息公开申请情况</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11"/>
        <w:gridCol w:w="893"/>
        <w:gridCol w:w="2625"/>
        <w:gridCol w:w="606"/>
        <w:gridCol w:w="606"/>
        <w:gridCol w:w="606"/>
        <w:gridCol w:w="606"/>
        <w:gridCol w:w="606"/>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left"/>
            </w:pPr>
            <w:r>
              <w:rPr>
                <w:rFonts w:ascii="楷体" w:hAnsi="楷体" w:eastAsia="楷体" w:cs="楷体"/>
                <w:kern w:val="0"/>
                <w:sz w:val="20"/>
                <w:szCs w:val="20"/>
                <w:bdr w:val="none" w:color="auto" w:sz="0" w:space="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商业</w:t>
            </w:r>
          </w:p>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企业</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科研</w:t>
            </w:r>
          </w:p>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机构</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p>
        </w:tc>
        <w:tc>
          <w:tcPr>
            <w:tcW w:w="688" w:type="dxa"/>
            <w:vMerge w:val="continue"/>
            <w:tcBorders>
              <w:top w:val="single" w:color="auto" w:sz="8" w:space="0"/>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宋体" w:cs="Calibri"/>
                <w:kern w:val="0"/>
                <w:sz w:val="20"/>
                <w:szCs w:val="20"/>
                <w:bdr w:val="none" w:color="auto" w:sz="0" w:space="0"/>
                <w:lang w:val="en-US" w:eastAsia="zh-CN" w:bidi="ar"/>
              </w:rPr>
              <w:t> </w:t>
            </w: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（一）予以公开</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（二）部分公开</w:t>
            </w:r>
            <w:r>
              <w:rPr>
                <w:rFonts w:hint="eastAsia" w:ascii="楷体" w:hAnsi="楷体" w:eastAsia="楷体" w:cs="楷体"/>
                <w:kern w:val="0"/>
                <w:sz w:val="20"/>
                <w:szCs w:val="20"/>
                <w:bdr w:val="none" w:color="auto" w:sz="0" w:space="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（三）不予公开</w:t>
            </w: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1.属于国家秘密</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single" w:color="auto" w:sz="8" w:space="0"/>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2.其他法律行政法规禁止公开</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3.危及“三安全一稳定”</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4.保护第三方合法权益</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5.属于三类内部事务信息</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6.属于四类过程性信息</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7.属于行政执法案卷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8.属于行政查询事项</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（四）无法提供</w:t>
            </w: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1.本机关不掌握相关政府信息</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2.没有现成信息需要另行制作</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3.补正后申请内容仍不明确</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（五）不予处理</w:t>
            </w: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1.信访举报投诉类申请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2.重复申请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3.要求提供公开出版物</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4.无正当理由大量反复申请</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0"/>
                <w:szCs w:val="20"/>
                <w:bdr w:val="none" w:color="auto" w:sz="0" w:space="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outset"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（六）其他处理</w:t>
            </w:r>
          </w:p>
        </w:tc>
        <w:tc>
          <w:tcPr>
            <w:tcW w:w="3219"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0"/>
                <w:szCs w:val="20"/>
                <w:bdr w:val="none" w:color="auto" w:sz="0" w:space="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both"/>
            </w:pPr>
            <w:r>
              <w:rPr>
                <w:rFonts w:hint="eastAsia" w:ascii="宋体" w:hAnsi="宋体" w:eastAsia="宋体" w:cs="宋体"/>
                <w:kern w:val="0"/>
                <w:sz w:val="20"/>
                <w:szCs w:val="20"/>
                <w:bdr w:val="none" w:color="auto" w:sz="0" w:space="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3.其他</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（七）总计</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四、结转下年度继续办理</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top"/>
          </w:tcPr>
          <w:p>
            <w:pPr>
              <w:keepNext w:val="0"/>
              <w:keepLines w:val="0"/>
              <w:widowControl/>
              <w:suppressLineNumbers w:val="0"/>
              <w:wordWrap w:val="0"/>
              <w:spacing w:before="0" w:beforeAutospacing="0" w:after="0" w:afterAutospacing="0"/>
              <w:ind w:left="0" w:right="0"/>
              <w:jc w:val="both"/>
            </w:pPr>
            <w:r>
              <w:rPr>
                <w:rFonts w:hint="default" w:ascii="Calibri" w:hAnsi="Calibri" w:eastAsia="仿宋_GB2312" w:cs="Calibri"/>
                <w:kern w:val="0"/>
                <w:sz w:val="20"/>
                <w:szCs w:val="20"/>
                <w:bdr w:val="none" w:color="auto" w:sz="0" w:space="0"/>
                <w:lang w:val="en-US" w:eastAsia="zh-CN" w:bidi="ar"/>
              </w:rPr>
              <w:t>0</w:t>
            </w:r>
          </w:p>
        </w:tc>
      </w:tr>
    </w:tbl>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黑体" w:hAnsi="宋体" w:eastAsia="黑体" w:cs="黑体"/>
          <w:kern w:val="2"/>
          <w:sz w:val="32"/>
          <w:szCs w:val="32"/>
          <w:lang w:val="en-US" w:eastAsia="zh-CN" w:bidi="ar"/>
        </w:rPr>
        <w:t>四、政府信息公开行政复议、行政诉讼情况</w:t>
      </w:r>
    </w:p>
    <w:tbl>
      <w:tblPr>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行政复议</w:t>
            </w:r>
          </w:p>
        </w:tc>
        <w:tc>
          <w:tcPr>
            <w:tcW w:w="6498"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结果维持</w:t>
            </w:r>
          </w:p>
        </w:tc>
        <w:tc>
          <w:tcPr>
            <w:tcW w:w="649"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结果</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其他</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尚未</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未经复议直接起诉</w:t>
            </w:r>
          </w:p>
        </w:tc>
        <w:tc>
          <w:tcPr>
            <w:tcW w:w="325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结果</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结果</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其他</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尚未</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总计</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结果</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维持</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结果</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其他</w:t>
            </w:r>
            <w:r>
              <w:rPr>
                <w:rFonts w:hint="eastAsia" w:ascii="宋体" w:hAnsi="宋体" w:eastAsia="宋体" w:cs="宋体"/>
                <w:color w:val="000000"/>
                <w:kern w:val="0"/>
                <w:sz w:val="20"/>
                <w:szCs w:val="20"/>
                <w:bdr w:val="none" w:color="auto" w:sz="0" w:space="0"/>
                <w:lang w:val="en-US" w:eastAsia="zh-CN" w:bidi="ar"/>
              </w:rPr>
              <w:br w:type="textWrapping"/>
            </w:r>
            <w:r>
              <w:rPr>
                <w:rFonts w:hint="eastAsia" w:ascii="宋体" w:hAnsi="宋体" w:eastAsia="宋体" w:cs="宋体"/>
                <w:color w:val="000000"/>
                <w:kern w:val="0"/>
                <w:sz w:val="20"/>
                <w:szCs w:val="20"/>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尚未</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color w:val="000000"/>
                <w:kern w:val="0"/>
                <w:sz w:val="20"/>
                <w:szCs w:val="20"/>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kern w:val="0"/>
                <w:sz w:val="20"/>
                <w:szCs w:val="20"/>
                <w:bdr w:val="none" w:color="auto" w:sz="0" w:space="0"/>
                <w:lang w:val="en-US" w:eastAsia="zh-CN" w:bidi="ar"/>
              </w:rPr>
              <w:t> </w:t>
            </w:r>
            <w:r>
              <w:rPr>
                <w:rFonts w:hint="eastAsia" w:ascii="黑体" w:hAnsi="宋体" w:eastAsia="黑体" w:cs="黑体"/>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wordWrap w:val="0"/>
              <w:spacing w:before="0" w:beforeAutospacing="0" w:after="0" w:afterAutospacing="0"/>
              <w:ind w:left="0" w:right="0"/>
              <w:jc w:val="center"/>
            </w:pPr>
            <w:r>
              <w:rPr>
                <w:rFonts w:hint="default" w:ascii="Calibri" w:hAnsi="Calibri" w:eastAsia="仿宋_GB2312" w:cs="Calibri"/>
                <w:kern w:val="0"/>
                <w:sz w:val="20"/>
                <w:szCs w:val="20"/>
                <w:bdr w:val="none" w:color="auto" w:sz="0" w:space="0"/>
                <w:lang w:val="en-US" w:eastAsia="zh-CN" w:bidi="ar"/>
              </w:rPr>
              <w:t>0</w:t>
            </w:r>
          </w:p>
        </w:tc>
      </w:tr>
    </w:tbl>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黑体" w:hAnsi="宋体" w:eastAsia="黑体" w:cs="黑体"/>
          <w:kern w:val="2"/>
          <w:sz w:val="32"/>
          <w:szCs w:val="32"/>
          <w:lang w:val="en-US" w:eastAsia="zh-CN" w:bidi="ar"/>
        </w:rPr>
        <w:t>五、存在的主要问题及改进情况</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楷体_GB2312" w:eastAsia="楷体_GB2312" w:cs="楷体_GB2312" w:hAnsiTheme="minorHAnsi"/>
          <w:b/>
          <w:bCs/>
          <w:kern w:val="2"/>
          <w:sz w:val="32"/>
          <w:szCs w:val="32"/>
          <w:lang w:val="en-US" w:eastAsia="zh-CN" w:bidi="ar"/>
        </w:rPr>
        <w:t>（一）2022年存在的主要问题及改进情况</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仿宋_GB2312" w:eastAsia="仿宋_GB2312" w:cs="仿宋_GB2312" w:hAnsiTheme="minorHAnsi"/>
          <w:kern w:val="2"/>
          <w:sz w:val="32"/>
          <w:szCs w:val="32"/>
          <w:lang w:val="en-US" w:eastAsia="zh-CN" w:bidi="ar"/>
        </w:rPr>
        <w:t>2022年主要存在的主要问题为：一是规范性文件格式不规范未统一。二是两化领域相关年度指南信息未及时删除跟进更新。三是对于村务公开惠民惠农打卡项目未能够有效落实增补，实现数据信息实时更新。改进情况：一是为统一规范性文件的格式，燕子河镇由政务公开经办人参与县政府办组织的政务公开推进会，统一培训学习规范性文件整改工作，并依据下发的规范性文件字体及板式，及时作出规范整改，下一步将继续修正部分文件格式瑕疵。二是为全面公开政府信息，经县政务公开股指示指导，我镇及时对两化专题内食品药品监管领域、就业创业领域、社会保险领域、社会救助领域、户籍管理领域和残疾人服务领域等专题，及时清理非本年度指南。三是为切实保障人民群众在村级事务中的知情权、参与权和监督权，进一步提高村务公开和民主管理工作的制度化、规范化水平，我镇积极跟进更新本年度村务公开惠民惠农打卡项目的增补信息工作，对三资、项目以及乡村振兴等其他公开条目也实时更新。</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楷体_GB2312" w:eastAsia="楷体_GB2312" w:cs="楷体_GB2312" w:hAnsiTheme="minorHAnsi"/>
          <w:b/>
          <w:bCs/>
          <w:kern w:val="2"/>
          <w:sz w:val="32"/>
          <w:szCs w:val="32"/>
          <w:lang w:val="en-US" w:eastAsia="zh-CN" w:bidi="ar"/>
        </w:rPr>
        <w:t>（二）当前存在的问题及下一步改进情况</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仿宋_GB2312" w:eastAsia="仿宋_GB2312" w:cs="仿宋_GB2312" w:hAnsiTheme="minorHAnsi"/>
          <w:b/>
          <w:bCs/>
          <w:kern w:val="2"/>
          <w:sz w:val="32"/>
          <w:szCs w:val="32"/>
          <w:lang w:val="en-US" w:eastAsia="zh-CN" w:bidi="ar"/>
        </w:rPr>
        <w:t>1.当前存在的问题。</w:t>
      </w:r>
      <w:r>
        <w:rPr>
          <w:rFonts w:hint="eastAsia" w:ascii="仿宋_GB2312" w:eastAsia="仿宋_GB2312" w:cs="仿宋_GB2312" w:hAnsiTheme="minorHAnsi"/>
          <w:kern w:val="2"/>
          <w:sz w:val="32"/>
          <w:szCs w:val="32"/>
          <w:lang w:val="en-US" w:eastAsia="zh-CN" w:bidi="ar"/>
        </w:rPr>
        <w:t>部分信息公开内容有待提升。对政策文件、决策公开缺少全环节、全流程信息公开。对部门信息采取简化内容的方式，对信息背景、事实依据了解不够详尽、充分，对内容分析和审查较为不足，信息内容质量有待进一步提升。</w:t>
      </w:r>
    </w:p>
    <w:p>
      <w:pPr>
        <w:keepNext w:val="0"/>
        <w:keepLines w:val="0"/>
        <w:widowControl w:val="0"/>
        <w:suppressLineNumbers w:val="0"/>
        <w:autoSpaceDE w:val="0"/>
        <w:autoSpaceDN/>
        <w:spacing w:before="0" w:beforeAutospacing="1" w:after="0" w:afterAutospacing="1"/>
        <w:ind w:left="0" w:right="0" w:firstLine="643" w:firstLineChars="200"/>
        <w:jc w:val="left"/>
      </w:pPr>
      <w:r>
        <w:rPr>
          <w:rFonts w:hint="eastAsia" w:ascii="仿宋_GB2312" w:eastAsia="仿宋_GB2312" w:cs="仿宋_GB2312" w:hAnsiTheme="minorHAnsi"/>
          <w:b/>
          <w:bCs/>
          <w:kern w:val="2"/>
          <w:sz w:val="32"/>
          <w:szCs w:val="32"/>
          <w:lang w:val="en-US" w:eastAsia="zh-CN" w:bidi="ar"/>
        </w:rPr>
        <w:t>2.下一步改进措施。</w:t>
      </w:r>
      <w:r>
        <w:rPr>
          <w:rFonts w:hint="eastAsia" w:ascii="仿宋_GB2312" w:eastAsia="仿宋_GB2312" w:cs="仿宋_GB2312" w:hAnsiTheme="minorHAnsi"/>
          <w:kern w:val="2"/>
          <w:sz w:val="32"/>
          <w:szCs w:val="32"/>
          <w:lang w:val="en-US" w:eastAsia="zh-CN" w:bidi="ar"/>
        </w:rPr>
        <w:t>多举措提升内容质量。定期开展督查问责，对经办人员的业务水平定期抽查。内容上实行三审制度，增加每月更新信息检查机制，并定期举办推进会和交流会，学习探讨研究多样化方式方法，提升内容水平质量。</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黑体" w:hAnsi="宋体" w:eastAsia="黑体" w:cs="黑体"/>
          <w:kern w:val="2"/>
          <w:sz w:val="32"/>
          <w:szCs w:val="32"/>
          <w:lang w:val="en-US" w:eastAsia="zh-CN" w:bidi="ar"/>
        </w:rPr>
        <w:t>六、其他需要报告的事项</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仿宋_GB2312" w:eastAsia="仿宋_GB2312" w:cs="仿宋_GB2312" w:hAnsiTheme="minorHAnsi"/>
          <w:kern w:val="2"/>
          <w:sz w:val="32"/>
          <w:szCs w:val="32"/>
          <w:lang w:val="en-US" w:eastAsia="zh-CN" w:bidi="ar"/>
        </w:rPr>
        <w:t>按照《国务院办公厅关于印发〈政府信息公开信息处理费管理办法〉的通知》（国办函〔2020〕109号）规定的按件、按量收费标准，本年度没有产生信息公开处理费。</w:t>
      </w:r>
      <w:bookmarkStart w:id="0" w:name="_GoBack"/>
      <w:bookmarkEnd w:id="0"/>
    </w:p>
    <w:p>
      <w:pPr>
        <w:keepNext w:val="0"/>
        <w:keepLines w:val="0"/>
        <w:widowControl w:val="0"/>
        <w:suppressLineNumbers w:val="0"/>
        <w:autoSpaceDE w:val="0"/>
        <w:autoSpaceDN/>
        <w:spacing w:before="0" w:beforeAutospacing="1" w:after="0" w:afterAutospacing="1"/>
        <w:ind w:left="0" w:right="0" w:firstLine="420" w:firstLineChars="200"/>
        <w:jc w:val="left"/>
      </w:pPr>
    </w:p>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240" w:lineRule="auto"/>
        <w:ind w:left="0" w:right="0" w:firstLine="0" w:firstLineChars="0"/>
        <w:jc w:val="right"/>
        <w:textAlignment w:val="auto"/>
        <w:rPr>
          <w:rFonts w:hint="default"/>
          <w:lang w:val="en-US"/>
        </w:rPr>
      </w:pPr>
      <w:r>
        <w:rPr>
          <w:rFonts w:hint="eastAsia" w:ascii="仿宋_GB2312" w:eastAsia="仿宋_GB2312" w:cs="仿宋_GB2312" w:hAnsiTheme="minorHAnsi"/>
          <w:kern w:val="2"/>
          <w:sz w:val="32"/>
          <w:szCs w:val="32"/>
          <w:lang w:val="en-US" w:eastAsia="zh-CN" w:bidi="ar"/>
        </w:rPr>
        <w:t>金寨县燕子河镇人民政府</w:t>
      </w:r>
      <w:r>
        <w:rPr>
          <w:rFonts w:hint="eastAsia" w:ascii="仿宋_GB2312" w:eastAsia="仿宋_GB2312" w:cs="仿宋_GB2312"/>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240" w:lineRule="auto"/>
        <w:ind w:left="0" w:right="0" w:firstLine="0" w:firstLineChars="0"/>
        <w:jc w:val="right"/>
        <w:textAlignment w:val="auto"/>
        <w:rPr>
          <w:rFonts w:hint="default"/>
          <w:lang w:val="en-US"/>
        </w:rPr>
      </w:pPr>
      <w:r>
        <w:rPr>
          <w:rFonts w:hint="eastAsia" w:ascii="仿宋_GB2312" w:eastAsia="仿宋_GB2312" w:cs="仿宋_GB2312" w:hAnsiTheme="minorHAnsi"/>
          <w:kern w:val="2"/>
          <w:sz w:val="32"/>
          <w:szCs w:val="32"/>
          <w:lang w:val="en-US" w:eastAsia="zh-CN" w:bidi="ar"/>
        </w:rPr>
        <w:t>2023年1月17日</w:t>
      </w:r>
      <w:r>
        <w:rPr>
          <w:rFonts w:hint="eastAsia" w:ascii="仿宋_GB2312" w:eastAsia="仿宋_GB2312" w:cs="仿宋_GB2312"/>
          <w:kern w:val="2"/>
          <w:sz w:val="32"/>
          <w:szCs w:val="32"/>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mY0ZGQyOTczNTA4OTBjN2VhNWNkNzdiNjQ5OWEifQ=="/>
  </w:docVars>
  <w:rsids>
    <w:rsidRoot w:val="4BC83F65"/>
    <w:rsid w:val="4BC8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2024-06-04T12:10:00Z</dcterms:created>
  <dc:creator>Administrator</dc:creator>
  <cp:lastModifiedBy>Administrator</cp:lastModifiedBy>
  <dcterms:modified xsi:type="dcterms:W3CDTF">2024-06-04T12:12:17Z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A04EF74810C94AA9B32E1D9E6987115D_11</vt:lpwstr>
  </property>
</Properties>
</file>