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金寨县</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重点工程建设管理处2023年度政府</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 xml:space="preserve"> </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信息公开工作年度报告</w:t>
      </w:r>
    </w:p>
    <w:p>
      <w:pPr>
        <w:pStyle w:val="9"/>
        <w:widowControl/>
        <w:shd w:val="clear" w:color="auto" w:fill="FFFFFF"/>
        <w:spacing w:before="0" w:beforeAutospacing="0" w:after="0" w:afterAutospacing="0"/>
        <w:ind w:firstLine="420"/>
        <w:jc w:val="both"/>
        <w:rPr>
          <w:rFonts w:hint="default" w:ascii="黑体" w:hAnsi="黑体" w:eastAsia="黑体" w:cs="黑体"/>
          <w:b w:val="0"/>
          <w:bCs/>
          <w:color w:val="auto"/>
          <w:sz w:val="32"/>
          <w:szCs w:val="32"/>
          <w:highlight w:val="none"/>
          <w:u w:val="none" w:color="auto"/>
          <w:shd w:val="clear" w:color="auto" w:fill="auto"/>
        </w:rPr>
      </w:pP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黑体" w:hAnsi="黑体" w:eastAsia="黑体" w:cs="黑体"/>
          <w:b w:val="0"/>
          <w:bCs/>
          <w:color w:val="auto"/>
          <w:sz w:val="32"/>
          <w:szCs w:val="32"/>
          <w:highlight w:val="none"/>
          <w:u w:val="none" w:color="auto"/>
          <w:shd w:val="clear" w:color="auto" w:fill="auto"/>
        </w:rPr>
      </w:pPr>
      <w:r>
        <w:rPr>
          <w:rFonts w:ascii="仿宋_GB2312" w:hAnsi="宋体" w:eastAsia="仿宋_GB2312" w:cs="仿宋_GB2312"/>
          <w:i w:val="0"/>
          <w:iCs w:val="0"/>
          <w:caps w:val="0"/>
          <w:color w:val="000000"/>
          <w:spacing w:val="0"/>
          <w:sz w:val="32"/>
          <w:szCs w:val="32"/>
        </w:rPr>
        <w:t>根据《中华人民共和国政府信息公开条例》第五十条相关规定，结合上级有关文件精神要求及工作实际，</w:t>
      </w:r>
      <w:r>
        <w:rPr>
          <w:rFonts w:hint="eastAsia" w:hAnsi="宋体" w:cs="仿宋_GB2312"/>
          <w:i w:val="0"/>
          <w:iCs w:val="0"/>
          <w:caps w:val="0"/>
          <w:color w:val="000000"/>
          <w:spacing w:val="0"/>
          <w:sz w:val="32"/>
          <w:szCs w:val="32"/>
          <w:lang w:val="en-US" w:eastAsia="zh-CN"/>
        </w:rPr>
        <w:t>金寨县</w:t>
      </w:r>
      <w:r>
        <w:rPr>
          <w:rFonts w:ascii="仿宋_GB2312" w:hAnsi="宋体" w:eastAsia="仿宋_GB2312" w:cs="仿宋_GB2312"/>
          <w:i w:val="0"/>
          <w:iCs w:val="0"/>
          <w:caps w:val="0"/>
          <w:color w:val="000000"/>
          <w:spacing w:val="0"/>
          <w:sz w:val="32"/>
          <w:szCs w:val="32"/>
        </w:rPr>
        <w:t>重点工程建设管理处编制</w:t>
      </w:r>
      <w:r>
        <w:rPr>
          <w:rFonts w:hint="eastAsia" w:ascii="仿宋_GB2312" w:hAnsi="宋体" w:eastAsia="仿宋_GB2312" w:cs="仿宋_GB2312"/>
          <w:i w:val="0"/>
          <w:iCs w:val="0"/>
          <w:caps w:val="0"/>
          <w:color w:val="000000"/>
          <w:spacing w:val="0"/>
          <w:sz w:val="32"/>
          <w:szCs w:val="32"/>
        </w:rPr>
        <w:t>2023年度政府信息公开年度报告。本报告包括总体情况、主动公开政府信息情况、收到和处理政府信息公开申请情况、因政府信息公开工作被申请行政复议、提起行政诉讼情况和其他需要报告的事项。本年度报告中使用数据统计期限为2023年1月1日至2023年12月31日，本年度报告电子版可在</w:t>
      </w:r>
      <w:r>
        <w:rPr>
          <w:rFonts w:hint="eastAsia" w:hAnsi="宋体" w:cs="仿宋_GB2312"/>
          <w:i w:val="0"/>
          <w:iCs w:val="0"/>
          <w:caps w:val="0"/>
          <w:color w:val="000000"/>
          <w:spacing w:val="0"/>
          <w:sz w:val="32"/>
          <w:szCs w:val="32"/>
          <w:lang w:val="en-US" w:eastAsia="zh-CN"/>
        </w:rPr>
        <w:t>金寨县</w:t>
      </w:r>
      <w:r>
        <w:rPr>
          <w:rFonts w:hint="eastAsia" w:ascii="仿宋_GB2312" w:hAnsi="宋体" w:eastAsia="仿宋_GB2312" w:cs="仿宋_GB2312"/>
          <w:i w:val="0"/>
          <w:iCs w:val="0"/>
          <w:caps w:val="0"/>
          <w:color w:val="000000"/>
          <w:spacing w:val="0"/>
          <w:sz w:val="32"/>
          <w:szCs w:val="32"/>
        </w:rPr>
        <w:t>重点工程建设管理处信息公开平台下载。如对本报告有任何疑问，请与</w:t>
      </w:r>
      <w:r>
        <w:rPr>
          <w:rFonts w:hint="eastAsia" w:hAnsi="宋体" w:cs="仿宋_GB2312"/>
          <w:i w:val="0"/>
          <w:iCs w:val="0"/>
          <w:caps w:val="0"/>
          <w:color w:val="000000"/>
          <w:spacing w:val="0"/>
          <w:sz w:val="32"/>
          <w:szCs w:val="32"/>
          <w:lang w:val="en-US" w:eastAsia="zh-CN"/>
        </w:rPr>
        <w:t>金寨县</w:t>
      </w:r>
      <w:r>
        <w:rPr>
          <w:rFonts w:hint="eastAsia" w:ascii="仿宋_GB2312" w:hAnsi="宋体" w:eastAsia="仿宋_GB2312" w:cs="仿宋_GB2312"/>
          <w:i w:val="0"/>
          <w:iCs w:val="0"/>
          <w:caps w:val="0"/>
          <w:color w:val="000000"/>
          <w:spacing w:val="0"/>
          <w:sz w:val="32"/>
          <w:szCs w:val="32"/>
        </w:rPr>
        <w:t>重点工程建设管理处联系（地址：金寨县新城区环保局二楼西侧；邮编：237300；联系电话：0564-7350891）</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00" w:lineRule="exact"/>
        <w:ind w:firstLine="420"/>
        <w:jc w:val="both"/>
        <w:textAlignment w:val="auto"/>
        <w:rPr>
          <w:rFonts w:hint="default" w:ascii="黑体" w:hAnsi="黑体" w:eastAsia="黑体" w:cs="黑体"/>
          <w:b w:val="0"/>
          <w:bCs/>
          <w:color w:val="auto"/>
          <w:sz w:val="32"/>
          <w:szCs w:val="32"/>
          <w:highlight w:val="none"/>
          <w:u w:val="none" w:color="auto"/>
          <w:shd w:val="clear" w:color="auto" w:fill="auto"/>
        </w:rPr>
      </w:pPr>
      <w:r>
        <w:rPr>
          <w:rFonts w:hint="default" w:ascii="黑体" w:hAnsi="黑体" w:eastAsia="黑体" w:cs="黑体"/>
          <w:b w:val="0"/>
          <w:bCs/>
          <w:color w:val="auto"/>
          <w:sz w:val="32"/>
          <w:szCs w:val="32"/>
          <w:highlight w:val="none"/>
          <w:u w:val="none" w:color="auto"/>
          <w:shd w:val="clear" w:color="auto" w:fill="auto"/>
        </w:rPr>
        <w:t>一、总体情况</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rPr>
          <w:rFonts w:ascii="仿宋_GB2312" w:hAnsi="Calibri" w:eastAsia="仿宋_GB2312" w:cs="仿宋_GB2312"/>
          <w:i w:val="0"/>
          <w:iCs w:val="0"/>
          <w:caps w:val="0"/>
          <w:color w:val="000000"/>
          <w:spacing w:val="0"/>
          <w:sz w:val="32"/>
          <w:szCs w:val="32"/>
          <w:shd w:val="clear" w:fill="FFFFFF"/>
        </w:rPr>
      </w:pPr>
      <w:r>
        <w:rPr>
          <w:rFonts w:ascii="仿宋_GB2312" w:hAnsi="Calibri" w:eastAsia="仿宋_GB2312" w:cs="仿宋_GB2312"/>
          <w:i w:val="0"/>
          <w:iCs w:val="0"/>
          <w:caps w:val="0"/>
          <w:color w:val="000000"/>
          <w:spacing w:val="0"/>
          <w:sz w:val="32"/>
          <w:szCs w:val="32"/>
          <w:shd w:val="clear" w:fill="FFFFFF"/>
        </w:rPr>
        <w:t>2023年，</w:t>
      </w:r>
      <w:r>
        <w:rPr>
          <w:rFonts w:hint="eastAsia" w:ascii="仿宋_GB2312" w:hAnsi="Calibri" w:eastAsia="仿宋_GB2312" w:cs="仿宋_GB2312"/>
          <w:i w:val="0"/>
          <w:iCs w:val="0"/>
          <w:caps w:val="0"/>
          <w:color w:val="000000"/>
          <w:spacing w:val="0"/>
          <w:sz w:val="32"/>
          <w:szCs w:val="32"/>
          <w:shd w:val="clear" w:fill="FFFFFF"/>
          <w:lang w:val="en-US" w:eastAsia="zh-CN"/>
        </w:rPr>
        <w:t>县</w:t>
      </w:r>
      <w:r>
        <w:rPr>
          <w:rFonts w:ascii="仿宋_GB2312" w:hAnsi="Calibri" w:eastAsia="仿宋_GB2312" w:cs="仿宋_GB2312"/>
          <w:i w:val="0"/>
          <w:iCs w:val="0"/>
          <w:caps w:val="0"/>
          <w:color w:val="000000"/>
          <w:spacing w:val="0"/>
          <w:sz w:val="32"/>
          <w:szCs w:val="32"/>
          <w:shd w:val="clear" w:fill="FFFFFF"/>
        </w:rPr>
        <w:t>重点工程处严格落实好</w:t>
      </w:r>
      <w:r>
        <w:rPr>
          <w:rFonts w:hint="eastAsia" w:ascii="仿宋_GB2312" w:hAnsi="Calibri" w:eastAsia="仿宋_GB2312" w:cs="仿宋_GB2312"/>
          <w:i w:val="0"/>
          <w:iCs w:val="0"/>
          <w:caps w:val="0"/>
          <w:color w:val="000000"/>
          <w:spacing w:val="0"/>
          <w:sz w:val="32"/>
          <w:szCs w:val="32"/>
          <w:shd w:val="clear" w:fill="FFFFFF"/>
          <w:lang w:val="en-US" w:eastAsia="zh-CN"/>
        </w:rPr>
        <w:t>县</w:t>
      </w:r>
      <w:r>
        <w:rPr>
          <w:rFonts w:ascii="仿宋_GB2312" w:hAnsi="Calibri" w:eastAsia="仿宋_GB2312" w:cs="仿宋_GB2312"/>
          <w:i w:val="0"/>
          <w:iCs w:val="0"/>
          <w:caps w:val="0"/>
          <w:color w:val="000000"/>
          <w:spacing w:val="0"/>
          <w:sz w:val="32"/>
          <w:szCs w:val="32"/>
          <w:shd w:val="clear" w:fill="FFFFFF"/>
        </w:rPr>
        <w:t>委、</w:t>
      </w:r>
      <w:r>
        <w:rPr>
          <w:rFonts w:hint="eastAsia" w:ascii="仿宋_GB2312" w:hAnsi="Calibri" w:eastAsia="仿宋_GB2312" w:cs="仿宋_GB2312"/>
          <w:i w:val="0"/>
          <w:iCs w:val="0"/>
          <w:caps w:val="0"/>
          <w:color w:val="000000"/>
          <w:spacing w:val="0"/>
          <w:sz w:val="32"/>
          <w:szCs w:val="32"/>
          <w:shd w:val="clear" w:fill="FFFFFF"/>
          <w:lang w:val="en-US" w:eastAsia="zh-CN"/>
        </w:rPr>
        <w:t>县</w:t>
      </w:r>
      <w:r>
        <w:rPr>
          <w:rFonts w:ascii="仿宋_GB2312" w:hAnsi="Calibri" w:eastAsia="仿宋_GB2312" w:cs="仿宋_GB2312"/>
          <w:i w:val="0"/>
          <w:iCs w:val="0"/>
          <w:caps w:val="0"/>
          <w:color w:val="000000"/>
          <w:spacing w:val="0"/>
          <w:sz w:val="32"/>
          <w:szCs w:val="32"/>
          <w:shd w:val="clear" w:fill="FFFFFF"/>
        </w:rPr>
        <w:t>政府各项工作部署安排，紧扣政务公开工作要求和重点工程项目建设主责主业，细化工作分解、压实工作责任、对标对表落实、推动能力提升，以政务公开工作成效有效服务重点工程建设，有力推动高质量发展。</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1"/>
        <w:jc w:val="both"/>
        <w:textAlignment w:val="auto"/>
        <w:rPr>
          <w:rFonts w:hint="default" w:ascii="Calibri" w:hAnsi="Calibri" w:cs="Calibri"/>
          <w:i w:val="0"/>
          <w:iCs w:val="0"/>
          <w:caps w:val="0"/>
          <w:color w:val="000000"/>
          <w:spacing w:val="0"/>
          <w:sz w:val="21"/>
          <w:szCs w:val="21"/>
        </w:rPr>
      </w:pPr>
      <w:r>
        <w:rPr>
          <w:rFonts w:ascii="楷体_GB2312" w:hAnsi="Calibri" w:eastAsia="楷体_GB2312" w:cs="楷体_GB2312"/>
          <w:i w:val="0"/>
          <w:iCs w:val="0"/>
          <w:caps w:val="0"/>
          <w:color w:val="000000"/>
          <w:spacing w:val="0"/>
          <w:sz w:val="32"/>
          <w:szCs w:val="32"/>
          <w:shd w:val="clear" w:fill="FFFFFF"/>
        </w:rPr>
        <w:t>（一）</w:t>
      </w:r>
      <w:r>
        <w:rPr>
          <w:rFonts w:hint="eastAsia" w:ascii="楷体_GB2312" w:hAnsi="Calibri" w:eastAsia="楷体_GB2312" w:cs="楷体_GB2312"/>
          <w:i w:val="0"/>
          <w:iCs w:val="0"/>
          <w:caps w:val="0"/>
          <w:color w:val="000000"/>
          <w:spacing w:val="0"/>
          <w:sz w:val="32"/>
          <w:szCs w:val="32"/>
          <w:shd w:val="clear" w:fill="FFFFFF"/>
        </w:rPr>
        <w:t>主动公开情况。</w:t>
      </w:r>
      <w:r>
        <w:rPr>
          <w:rFonts w:hint="eastAsia" w:ascii="仿宋_GB2312" w:hAnsi="Calibri" w:eastAsia="仿宋_GB2312" w:cs="仿宋_GB2312"/>
          <w:b/>
          <w:bCs/>
          <w:i w:val="0"/>
          <w:iCs w:val="0"/>
          <w:caps w:val="0"/>
          <w:color w:val="000000"/>
          <w:spacing w:val="0"/>
          <w:sz w:val="32"/>
          <w:szCs w:val="32"/>
          <w:shd w:val="clear" w:fill="FFFFFF"/>
        </w:rPr>
        <w:t>一是</w:t>
      </w:r>
      <w:r>
        <w:rPr>
          <w:rFonts w:hint="eastAsia" w:ascii="仿宋_GB2312" w:hAnsi="Calibri" w:eastAsia="仿宋_GB2312" w:cs="仿宋_GB2312"/>
          <w:i w:val="0"/>
          <w:iCs w:val="0"/>
          <w:caps w:val="0"/>
          <w:color w:val="000000"/>
          <w:spacing w:val="0"/>
          <w:sz w:val="32"/>
          <w:szCs w:val="32"/>
          <w:shd w:val="clear" w:fill="FFFFFF"/>
        </w:rPr>
        <w:t>强化全年工作推进。年初制定印发《政务公开责任分解》《政务公开重点工作清单》，明确政务公开工作负责</w:t>
      </w:r>
      <w:r>
        <w:rPr>
          <w:rFonts w:hint="eastAsia" w:ascii="仿宋_GB2312" w:hAnsi="Calibri" w:eastAsia="仿宋_GB2312" w:cs="仿宋_GB2312"/>
          <w:i w:val="0"/>
          <w:iCs w:val="0"/>
          <w:caps w:val="0"/>
          <w:color w:val="000000"/>
          <w:spacing w:val="0"/>
          <w:sz w:val="32"/>
          <w:szCs w:val="32"/>
          <w:shd w:val="clear" w:fill="FFFFFF"/>
          <w:lang w:val="en-US" w:eastAsia="zh-CN"/>
        </w:rPr>
        <w:t>股</w:t>
      </w:r>
      <w:r>
        <w:rPr>
          <w:rFonts w:hint="eastAsia" w:ascii="仿宋_GB2312" w:hAnsi="Calibri" w:eastAsia="仿宋_GB2312" w:cs="仿宋_GB2312"/>
          <w:i w:val="0"/>
          <w:iCs w:val="0"/>
          <w:caps w:val="0"/>
          <w:color w:val="000000"/>
          <w:spacing w:val="0"/>
          <w:sz w:val="32"/>
          <w:szCs w:val="32"/>
          <w:shd w:val="clear" w:fill="FFFFFF"/>
        </w:rPr>
        <w:t>室、责任人员，扎实抓好全年重点工程领域信息公开各项工作，2023年网站发布政务信息</w:t>
      </w:r>
      <w:r>
        <w:rPr>
          <w:rFonts w:hint="eastAsia" w:ascii="仿宋_GB2312" w:hAnsi="Calibri" w:eastAsia="仿宋_GB2312" w:cs="仿宋_GB2312"/>
          <w:i w:val="0"/>
          <w:iCs w:val="0"/>
          <w:caps w:val="0"/>
          <w:color w:val="000000"/>
          <w:spacing w:val="0"/>
          <w:sz w:val="32"/>
          <w:szCs w:val="32"/>
          <w:shd w:val="clear" w:fill="FFFFFF"/>
          <w:lang w:val="en-US" w:eastAsia="zh-CN"/>
        </w:rPr>
        <w:t>209</w:t>
      </w:r>
      <w:r>
        <w:rPr>
          <w:rFonts w:hint="eastAsia" w:ascii="仿宋_GB2312" w:hAnsi="Calibri" w:eastAsia="仿宋_GB2312" w:cs="仿宋_GB2312"/>
          <w:i w:val="0"/>
          <w:iCs w:val="0"/>
          <w:caps w:val="0"/>
          <w:color w:val="000000"/>
          <w:spacing w:val="0"/>
          <w:sz w:val="32"/>
          <w:szCs w:val="32"/>
          <w:shd w:val="clear" w:fill="FFFFFF"/>
        </w:rPr>
        <w:t>条。</w:t>
      </w:r>
      <w:r>
        <w:rPr>
          <w:rFonts w:hint="eastAsia" w:ascii="仿宋_GB2312" w:hAnsi="Calibri" w:eastAsia="仿宋_GB2312" w:cs="仿宋_GB2312"/>
          <w:b/>
          <w:bCs/>
          <w:i w:val="0"/>
          <w:iCs w:val="0"/>
          <w:caps w:val="0"/>
          <w:color w:val="000000"/>
          <w:spacing w:val="0"/>
          <w:sz w:val="32"/>
          <w:szCs w:val="32"/>
          <w:shd w:val="clear" w:fill="FFFFFF"/>
          <w:lang w:val="en-US" w:eastAsia="zh-CN"/>
        </w:rPr>
        <w:t>二是</w:t>
      </w:r>
      <w:r>
        <w:rPr>
          <w:rFonts w:hint="eastAsia" w:ascii="仿宋_GB2312" w:hAnsi="Calibri" w:eastAsia="仿宋_GB2312" w:cs="仿宋_GB2312"/>
          <w:i w:val="0"/>
          <w:iCs w:val="0"/>
          <w:caps w:val="0"/>
          <w:color w:val="000000"/>
          <w:spacing w:val="0"/>
          <w:sz w:val="32"/>
          <w:szCs w:val="32"/>
          <w:shd w:val="clear" w:fill="FFFFFF"/>
          <w:lang w:val="en-US" w:eastAsia="zh-CN"/>
        </w:rPr>
        <w:t>紧抓重点工作落实。做好主动回应，全年发布项目建设、安全生产、农民工工资、交通出行等信息51条，对县域内重点工程建设工作方案、工程招标制度等群众关心关注问题，部门负责人亲自挂帅，做好政策解读，讲通讲透政策内涵。</w:t>
      </w:r>
      <w:r>
        <w:rPr>
          <w:rFonts w:hint="eastAsia" w:ascii="仿宋_GB2312" w:hAnsi="Calibri" w:eastAsia="仿宋_GB2312" w:cs="仿宋_GB2312"/>
          <w:b/>
          <w:bCs/>
          <w:i w:val="0"/>
          <w:iCs w:val="0"/>
          <w:caps w:val="0"/>
          <w:color w:val="000000"/>
          <w:spacing w:val="0"/>
          <w:sz w:val="32"/>
          <w:szCs w:val="32"/>
          <w:shd w:val="clear" w:fill="FFFFFF"/>
        </w:rPr>
        <w:t>三是</w:t>
      </w:r>
      <w:r>
        <w:rPr>
          <w:rFonts w:hint="eastAsia" w:ascii="仿宋_GB2312" w:hAnsi="Calibri" w:eastAsia="仿宋_GB2312" w:cs="仿宋_GB2312"/>
          <w:i w:val="0"/>
          <w:iCs w:val="0"/>
          <w:caps w:val="0"/>
          <w:color w:val="000000"/>
          <w:spacing w:val="0"/>
          <w:sz w:val="32"/>
          <w:szCs w:val="32"/>
          <w:shd w:val="clear" w:fill="FFFFFF"/>
        </w:rPr>
        <w:t>提升重点领域公开质效。紧扣承担重点领域，常态化</w:t>
      </w:r>
      <w:bookmarkStart w:id="0" w:name="_GoBack"/>
      <w:bookmarkEnd w:id="0"/>
      <w:r>
        <w:rPr>
          <w:rFonts w:hint="eastAsia" w:ascii="仿宋_GB2312" w:hAnsi="Calibri" w:eastAsia="仿宋_GB2312" w:cs="仿宋_GB2312"/>
          <w:i w:val="0"/>
          <w:iCs w:val="0"/>
          <w:caps w:val="0"/>
          <w:color w:val="000000"/>
          <w:spacing w:val="0"/>
          <w:sz w:val="32"/>
          <w:szCs w:val="32"/>
          <w:shd w:val="clear" w:fill="FFFFFF"/>
        </w:rPr>
        <w:t>做好重大工程建设项目全生命周期公开工作，年度</w:t>
      </w:r>
      <w:r>
        <w:rPr>
          <w:rFonts w:hint="eastAsia" w:ascii="仿宋_GB2312" w:hAnsi="Calibri" w:eastAsia="仿宋_GB2312" w:cs="仿宋_GB2312"/>
          <w:i w:val="0"/>
          <w:iCs w:val="0"/>
          <w:caps w:val="0"/>
          <w:color w:val="000000"/>
          <w:spacing w:val="0"/>
          <w:sz w:val="32"/>
          <w:szCs w:val="32"/>
          <w:shd w:val="clear" w:fill="FFFFFF"/>
          <w:lang w:val="en-US" w:eastAsia="zh-CN"/>
        </w:rPr>
        <w:t>公开重大项目10个，实时更新项目推进动态，提高政府工作透明度</w:t>
      </w:r>
      <w:r>
        <w:rPr>
          <w:rFonts w:hint="eastAsia" w:ascii="仿宋_GB2312" w:hAnsi="Calibri" w:eastAsia="仿宋_GB2312" w:cs="仿宋_GB2312"/>
          <w:i w:val="0"/>
          <w:iCs w:val="0"/>
          <w:caps w:val="0"/>
          <w:color w:val="000000"/>
          <w:spacing w:val="0"/>
          <w:sz w:val="32"/>
          <w:szCs w:val="32"/>
          <w:shd w:val="clear" w:fill="FFFFFF"/>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default" w:ascii="Calibri" w:hAnsi="Calibri" w:cs="Calibri"/>
          <w:i w:val="0"/>
          <w:iCs w:val="0"/>
          <w:caps w:val="0"/>
          <w:color w:val="000000"/>
          <w:spacing w:val="0"/>
          <w:sz w:val="21"/>
          <w:szCs w:val="21"/>
        </w:rPr>
      </w:pPr>
      <w:r>
        <w:rPr>
          <w:rFonts w:hint="eastAsia" w:ascii="楷体_GB2312" w:hAnsi="Calibri" w:eastAsia="楷体_GB2312" w:cs="楷体_GB2312"/>
          <w:i w:val="0"/>
          <w:iCs w:val="0"/>
          <w:caps w:val="0"/>
          <w:color w:val="000000"/>
          <w:spacing w:val="0"/>
          <w:sz w:val="32"/>
          <w:szCs w:val="32"/>
          <w:shd w:val="clear" w:fill="FFFFFF"/>
        </w:rPr>
        <w:t>（二）依申请公开。</w:t>
      </w:r>
      <w:r>
        <w:rPr>
          <w:rFonts w:hint="eastAsia" w:ascii="仿宋_GB2312" w:hAnsi="Calibri" w:eastAsia="仿宋_GB2312" w:cs="仿宋_GB2312"/>
          <w:i w:val="0"/>
          <w:iCs w:val="0"/>
          <w:caps w:val="0"/>
          <w:color w:val="000000"/>
          <w:spacing w:val="0"/>
          <w:sz w:val="32"/>
          <w:szCs w:val="32"/>
          <w:shd w:val="clear" w:fill="FFFFFF"/>
          <w:lang w:val="en-US" w:eastAsia="zh-CN"/>
        </w:rPr>
        <w:t>县重点工程处扎实做好依申请公开办理工作，由综合股做好申请内容初步审核，及时交办相关责任股室，办理结果经综合股复核无误后经由股室分管负责人、单位主要负责人审签，规定时限内答复，做好依申请公开全过程规范办理和结果闭环。</w:t>
      </w:r>
      <w:r>
        <w:rPr>
          <w:rFonts w:hint="eastAsia" w:ascii="仿宋_GB2312" w:eastAsia="仿宋_GB2312" w:cs="仿宋_GB2312"/>
          <w:i w:val="0"/>
          <w:iCs w:val="0"/>
          <w:caps w:val="0"/>
          <w:color w:val="333333"/>
          <w:spacing w:val="0"/>
          <w:sz w:val="32"/>
          <w:szCs w:val="32"/>
          <w:shd w:val="clear" w:fill="FFFFFF"/>
          <w:lang w:val="en-US" w:eastAsia="zh-CN"/>
        </w:rPr>
        <w:t>2023</w:t>
      </w:r>
      <w:r>
        <w:rPr>
          <w:rFonts w:hint="eastAsia" w:ascii="仿宋_GB2312" w:hAnsi="Calibri" w:eastAsia="仿宋_GB2312" w:cs="仿宋_GB2312"/>
          <w:i w:val="0"/>
          <w:iCs w:val="0"/>
          <w:caps w:val="0"/>
          <w:color w:val="000000"/>
          <w:spacing w:val="0"/>
          <w:sz w:val="32"/>
          <w:szCs w:val="32"/>
          <w:shd w:val="clear" w:fill="FFFFFF"/>
        </w:rPr>
        <w:t>年，</w:t>
      </w:r>
      <w:r>
        <w:rPr>
          <w:rFonts w:hint="eastAsia" w:ascii="仿宋_GB2312" w:hAnsi="Calibri" w:eastAsia="仿宋_GB2312" w:cs="仿宋_GB2312"/>
          <w:i w:val="0"/>
          <w:iCs w:val="0"/>
          <w:caps w:val="0"/>
          <w:color w:val="000000"/>
          <w:spacing w:val="0"/>
          <w:sz w:val="32"/>
          <w:szCs w:val="32"/>
          <w:shd w:val="clear" w:fill="FFFFFF"/>
          <w:lang w:val="en-US" w:eastAsia="zh-CN"/>
        </w:rPr>
        <w:t>县</w:t>
      </w:r>
      <w:r>
        <w:rPr>
          <w:rFonts w:hint="eastAsia" w:ascii="仿宋_GB2312" w:hAnsi="Calibri" w:eastAsia="仿宋_GB2312" w:cs="仿宋_GB2312"/>
          <w:i w:val="0"/>
          <w:iCs w:val="0"/>
          <w:caps w:val="0"/>
          <w:color w:val="000000"/>
          <w:spacing w:val="0"/>
          <w:sz w:val="32"/>
          <w:szCs w:val="32"/>
          <w:shd w:val="clear" w:fill="FFFFFF"/>
        </w:rPr>
        <w:t>重点工程处未收到政府信息公开申请。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default" w:ascii="Calibri" w:hAnsi="Calibri" w:cs="Calibri"/>
          <w:i w:val="0"/>
          <w:iCs w:val="0"/>
          <w:caps w:val="0"/>
          <w:color w:val="000000"/>
          <w:spacing w:val="0"/>
          <w:sz w:val="21"/>
          <w:szCs w:val="21"/>
        </w:rPr>
      </w:pPr>
      <w:r>
        <w:rPr>
          <w:rFonts w:hint="eastAsia" w:ascii="楷体_GB2312" w:hAnsi="Calibri" w:eastAsia="楷体_GB2312" w:cs="楷体_GB2312"/>
          <w:i w:val="0"/>
          <w:iCs w:val="0"/>
          <w:caps w:val="0"/>
          <w:color w:val="000000"/>
          <w:spacing w:val="0"/>
          <w:sz w:val="32"/>
          <w:szCs w:val="32"/>
          <w:shd w:val="clear" w:fill="FFFFFF"/>
        </w:rPr>
        <w:t>（三）政府信息管理</w:t>
      </w:r>
      <w:r>
        <w:rPr>
          <w:rFonts w:hint="eastAsia" w:ascii="仿宋_GB2312" w:hAnsi="Calibri" w:eastAsia="仿宋_GB2312" w:cs="仿宋_GB2312"/>
          <w:i w:val="0"/>
          <w:iCs w:val="0"/>
          <w:caps w:val="0"/>
          <w:color w:val="000000"/>
          <w:spacing w:val="0"/>
          <w:sz w:val="32"/>
          <w:szCs w:val="32"/>
          <w:shd w:val="clear" w:fill="FFFFFF"/>
        </w:rPr>
        <w:t>。</w:t>
      </w:r>
      <w:r>
        <w:rPr>
          <w:rFonts w:hint="eastAsia" w:ascii="仿宋_GB2312" w:hAnsi="Calibri" w:eastAsia="仿宋_GB2312" w:cs="仿宋_GB2312"/>
          <w:i w:val="0"/>
          <w:iCs w:val="0"/>
          <w:caps w:val="0"/>
          <w:color w:val="000000"/>
          <w:spacing w:val="0"/>
          <w:sz w:val="32"/>
          <w:szCs w:val="32"/>
          <w:shd w:val="clear" w:fill="FFFFFF"/>
          <w:lang w:val="en-US" w:eastAsia="zh-CN"/>
        </w:rPr>
        <w:t>县</w:t>
      </w:r>
      <w:r>
        <w:rPr>
          <w:rFonts w:hint="eastAsia" w:ascii="仿宋_GB2312" w:hAnsi="Calibri" w:eastAsia="仿宋_GB2312" w:cs="仿宋_GB2312"/>
          <w:i w:val="0"/>
          <w:iCs w:val="0"/>
          <w:caps w:val="0"/>
          <w:color w:val="000000"/>
          <w:spacing w:val="0"/>
          <w:sz w:val="32"/>
          <w:szCs w:val="32"/>
          <w:shd w:val="clear" w:fill="FFFFFF"/>
        </w:rPr>
        <w:t>重点工程处按照</w:t>
      </w:r>
      <w:r>
        <w:rPr>
          <w:rFonts w:hint="eastAsia" w:ascii="仿宋_GB2312" w:hAnsi="Calibri" w:eastAsia="仿宋_GB2312" w:cs="仿宋_GB2312"/>
          <w:i w:val="0"/>
          <w:iCs w:val="0"/>
          <w:caps w:val="0"/>
          <w:color w:val="000000"/>
          <w:spacing w:val="0"/>
          <w:sz w:val="32"/>
          <w:szCs w:val="32"/>
          <w:shd w:val="clear" w:fill="FFFFFF"/>
          <w:lang w:val="en-US" w:eastAsia="zh-CN"/>
        </w:rPr>
        <w:t>县</w:t>
      </w:r>
      <w:r>
        <w:rPr>
          <w:rFonts w:hint="eastAsia" w:ascii="仿宋_GB2312" w:hAnsi="Calibri" w:eastAsia="仿宋_GB2312" w:cs="仿宋_GB2312"/>
          <w:i w:val="0"/>
          <w:iCs w:val="0"/>
          <w:caps w:val="0"/>
          <w:color w:val="000000"/>
          <w:spacing w:val="0"/>
          <w:sz w:val="32"/>
          <w:szCs w:val="32"/>
          <w:shd w:val="clear" w:fill="FFFFFF"/>
        </w:rPr>
        <w:t>政务公开办统一部署，</w:t>
      </w:r>
      <w:r>
        <w:rPr>
          <w:rFonts w:hint="eastAsia" w:ascii="仿宋_GB2312" w:hAnsi="Calibri" w:eastAsia="仿宋_GB2312" w:cs="仿宋_GB2312"/>
          <w:i w:val="0"/>
          <w:iCs w:val="0"/>
          <w:caps w:val="0"/>
          <w:color w:val="000000"/>
          <w:spacing w:val="0"/>
          <w:sz w:val="32"/>
          <w:szCs w:val="32"/>
          <w:shd w:val="clear" w:fill="FFFFFF"/>
          <w:lang w:eastAsia="zh-CN"/>
        </w:rPr>
        <w:t>规范信息发布流程，严格落实信息公开审核机制，</w:t>
      </w:r>
      <w:r>
        <w:rPr>
          <w:rFonts w:hint="eastAsia" w:ascii="仿宋_GB2312" w:hAnsi="Calibri" w:eastAsia="仿宋_GB2312" w:cs="仿宋_GB2312"/>
          <w:i w:val="0"/>
          <w:iCs w:val="0"/>
          <w:caps w:val="0"/>
          <w:color w:val="000000"/>
          <w:spacing w:val="0"/>
          <w:sz w:val="32"/>
          <w:szCs w:val="32"/>
          <w:shd w:val="clear" w:fill="FFFFFF"/>
        </w:rPr>
        <w:t>对公开</w:t>
      </w:r>
      <w:r>
        <w:rPr>
          <w:rFonts w:hint="eastAsia" w:ascii="仿宋_GB2312" w:hAnsi="Calibri" w:eastAsia="仿宋_GB2312" w:cs="仿宋_GB2312"/>
          <w:i w:val="0"/>
          <w:iCs w:val="0"/>
          <w:caps w:val="0"/>
          <w:color w:val="000000"/>
          <w:spacing w:val="0"/>
          <w:sz w:val="32"/>
          <w:szCs w:val="32"/>
          <w:shd w:val="clear" w:fill="FFFFFF"/>
          <w:lang w:eastAsia="zh-CN"/>
        </w:rPr>
        <w:t>信息内容进行</w:t>
      </w:r>
      <w:r>
        <w:rPr>
          <w:rFonts w:hint="eastAsia" w:ascii="仿宋_GB2312" w:hAnsi="Calibri" w:eastAsia="仿宋_GB2312" w:cs="仿宋_GB2312"/>
          <w:i w:val="0"/>
          <w:iCs w:val="0"/>
          <w:caps w:val="0"/>
          <w:color w:val="000000"/>
          <w:spacing w:val="0"/>
          <w:sz w:val="32"/>
          <w:szCs w:val="32"/>
          <w:shd w:val="clear" w:fill="FFFFFF"/>
        </w:rPr>
        <w:t>保密审查，确保不出现失泄密情况</w:t>
      </w:r>
      <w:r>
        <w:rPr>
          <w:rFonts w:hint="eastAsia" w:ascii="仿宋_GB2312" w:hAnsi="Calibri" w:eastAsia="仿宋_GB2312" w:cs="仿宋_GB2312"/>
          <w:i w:val="0"/>
          <w:iCs w:val="0"/>
          <w:caps w:val="0"/>
          <w:color w:val="000000"/>
          <w:spacing w:val="0"/>
          <w:sz w:val="32"/>
          <w:szCs w:val="32"/>
          <w:shd w:val="clear" w:fill="FFFFFF"/>
          <w:lang w:eastAsia="zh-CN"/>
        </w:rPr>
        <w:t>，提升信发布质量</w:t>
      </w:r>
      <w:r>
        <w:rPr>
          <w:rFonts w:hint="eastAsia" w:ascii="仿宋_GB2312" w:hAnsi="Calibri" w:eastAsia="仿宋_GB2312" w:cs="仿宋_GB2312"/>
          <w:i w:val="0"/>
          <w:iCs w:val="0"/>
          <w:caps w:val="0"/>
          <w:color w:val="000000"/>
          <w:spacing w:val="0"/>
          <w:sz w:val="32"/>
          <w:szCs w:val="32"/>
          <w:shd w:val="clear" w:fill="FFFFFF"/>
        </w:rPr>
        <w:t>。</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320" w:firstLineChars="100"/>
        <w:jc w:val="left"/>
        <w:textAlignment w:val="auto"/>
      </w:pPr>
      <w:r>
        <w:rPr>
          <w:rFonts w:hint="eastAsia" w:ascii="楷体_GB2312" w:hAnsi="Calibri" w:eastAsia="楷体_GB2312" w:cs="楷体_GB2312"/>
          <w:i w:val="0"/>
          <w:iCs w:val="0"/>
          <w:caps w:val="0"/>
          <w:color w:val="000000"/>
          <w:spacing w:val="0"/>
          <w:kern w:val="0"/>
          <w:sz w:val="32"/>
          <w:szCs w:val="32"/>
          <w:shd w:val="clear" w:fill="FFFFFF"/>
          <w:lang w:val="en-US" w:eastAsia="zh-CN" w:bidi="ar"/>
        </w:rPr>
        <w:t>（四）政府信息公开平台建设。</w:t>
      </w:r>
      <w:r>
        <w:rPr>
          <w:rFonts w:hint="eastAsia" w:ascii="仿宋_GB2312" w:hAnsi="Calibri" w:eastAsia="仿宋_GB2312" w:cs="仿宋_GB2312"/>
          <w:i w:val="0"/>
          <w:iCs w:val="0"/>
          <w:caps w:val="0"/>
          <w:color w:val="000000"/>
          <w:spacing w:val="0"/>
          <w:kern w:val="0"/>
          <w:sz w:val="32"/>
          <w:szCs w:val="32"/>
          <w:shd w:val="clear" w:fill="FFFFFF"/>
          <w:lang w:val="en-US" w:eastAsia="zh-CN" w:bidi="ar"/>
        </w:rPr>
        <w:t>认真落实政府网站集约化平台建设要求，</w:t>
      </w:r>
      <w:r>
        <w:rPr>
          <w:rFonts w:hint="eastAsia" w:hAnsi="Calibri" w:cs="仿宋_GB2312"/>
          <w:i w:val="0"/>
          <w:iCs w:val="0"/>
          <w:caps w:val="0"/>
          <w:color w:val="000000"/>
          <w:spacing w:val="0"/>
          <w:kern w:val="0"/>
          <w:sz w:val="32"/>
          <w:szCs w:val="32"/>
          <w:shd w:val="clear" w:fill="FFFFFF"/>
          <w:lang w:val="en-US" w:eastAsia="zh-CN" w:bidi="ar"/>
        </w:rPr>
        <w:t>优化部门网站栏目设置，根据部门工作实际，优化公开栏目设置；</w:t>
      </w:r>
      <w:r>
        <w:rPr>
          <w:rFonts w:hint="eastAsia" w:ascii="仿宋_GB2312" w:hAnsi="Calibri" w:eastAsia="仿宋_GB2312" w:cs="仿宋_GB2312"/>
          <w:i w:val="0"/>
          <w:iCs w:val="0"/>
          <w:caps w:val="0"/>
          <w:color w:val="000000"/>
          <w:spacing w:val="0"/>
          <w:kern w:val="0"/>
          <w:sz w:val="32"/>
          <w:szCs w:val="32"/>
          <w:shd w:val="clear" w:fill="FFFFFF"/>
          <w:lang w:val="en-US" w:eastAsia="zh-CN" w:bidi="ar"/>
        </w:rPr>
        <w:t>规范网站日常更新维护，安排专人负责平台后台建设和管理工作，做好平台发布、信息公开和咨询答复等工作，确保网站规范有效运行。</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both"/>
        <w:textAlignment w:val="auto"/>
        <w:rPr>
          <w:rFonts w:hint="default" w:ascii="Calibri" w:hAnsi="Calibri" w:cs="Calibri"/>
          <w:i w:val="0"/>
          <w:iCs w:val="0"/>
          <w:caps w:val="0"/>
          <w:color w:val="000000"/>
          <w:spacing w:val="0"/>
          <w:sz w:val="21"/>
          <w:szCs w:val="21"/>
        </w:rPr>
      </w:pPr>
      <w:r>
        <w:rPr>
          <w:rFonts w:hint="eastAsia" w:ascii="楷体_GB2312" w:hAnsi="Calibri" w:eastAsia="楷体_GB2312" w:cs="楷体_GB2312"/>
          <w:i w:val="0"/>
          <w:iCs w:val="0"/>
          <w:caps w:val="0"/>
          <w:color w:val="000000"/>
          <w:spacing w:val="0"/>
          <w:sz w:val="32"/>
          <w:szCs w:val="32"/>
          <w:shd w:val="clear" w:fill="FFFFFF"/>
        </w:rPr>
        <w:t>（五）监督保障</w:t>
      </w:r>
      <w:r>
        <w:rPr>
          <w:rFonts w:hint="eastAsia" w:ascii="仿宋_GB2312" w:hAnsi="Calibri" w:eastAsia="仿宋_GB2312" w:cs="仿宋_GB2312"/>
          <w:i w:val="0"/>
          <w:iCs w:val="0"/>
          <w:caps w:val="0"/>
          <w:color w:val="000000"/>
          <w:spacing w:val="0"/>
          <w:sz w:val="32"/>
          <w:szCs w:val="32"/>
          <w:shd w:val="clear" w:fill="FFFFFF"/>
        </w:rPr>
        <w:t>。做好年度政务公开工作，将政务公开工作成效纳入年度考核相关内容，及时做好全处政务公开季度测评和整改落实</w:t>
      </w:r>
      <w:r>
        <w:rPr>
          <w:rFonts w:hint="eastAsia" w:ascii="仿宋_GB2312" w:hAnsi="Calibri" w:eastAsia="仿宋_GB2312" w:cs="仿宋_GB2312"/>
          <w:i w:val="0"/>
          <w:iCs w:val="0"/>
          <w:caps w:val="0"/>
          <w:color w:val="000000"/>
          <w:spacing w:val="0"/>
          <w:sz w:val="32"/>
          <w:szCs w:val="32"/>
          <w:shd w:val="clear" w:fill="FFFFFF"/>
          <w:lang w:val="en-US" w:eastAsia="zh-CN"/>
        </w:rPr>
        <w:t>工作</w:t>
      </w:r>
      <w:r>
        <w:rPr>
          <w:rFonts w:hint="eastAsia" w:ascii="仿宋_GB2312" w:hAnsi="Calibri" w:eastAsia="仿宋_GB2312" w:cs="仿宋_GB2312"/>
          <w:i w:val="0"/>
          <w:iCs w:val="0"/>
          <w:caps w:val="0"/>
          <w:color w:val="000000"/>
          <w:spacing w:val="0"/>
          <w:sz w:val="32"/>
          <w:szCs w:val="32"/>
          <w:shd w:val="clear" w:fill="FFFFFF"/>
        </w:rPr>
        <w:t>。全年共整改测评问题4</w:t>
      </w:r>
      <w:r>
        <w:rPr>
          <w:rFonts w:hint="eastAsia" w:ascii="仿宋_GB2312" w:hAnsi="Calibri" w:eastAsia="仿宋_GB2312" w:cs="仿宋_GB2312"/>
          <w:i w:val="0"/>
          <w:iCs w:val="0"/>
          <w:caps w:val="0"/>
          <w:color w:val="000000"/>
          <w:spacing w:val="0"/>
          <w:sz w:val="32"/>
          <w:szCs w:val="32"/>
          <w:shd w:val="clear" w:fill="FFFFFF"/>
          <w:lang w:val="en-US" w:eastAsia="zh-CN"/>
        </w:rPr>
        <w:t>3</w:t>
      </w:r>
      <w:r>
        <w:rPr>
          <w:rFonts w:hint="eastAsia" w:ascii="仿宋_GB2312" w:hAnsi="Calibri" w:eastAsia="仿宋_GB2312" w:cs="仿宋_GB2312"/>
          <w:i w:val="0"/>
          <w:iCs w:val="0"/>
          <w:caps w:val="0"/>
          <w:color w:val="000000"/>
          <w:spacing w:val="0"/>
          <w:sz w:val="32"/>
          <w:szCs w:val="32"/>
          <w:shd w:val="clear" w:fill="FFFFFF"/>
        </w:rPr>
        <w:t>条，报送政务公开经验交流信息</w:t>
      </w:r>
      <w:r>
        <w:rPr>
          <w:rFonts w:hint="eastAsia" w:ascii="仿宋_GB2312" w:hAnsi="Calibri" w:eastAsia="仿宋_GB2312" w:cs="仿宋_GB2312"/>
          <w:i w:val="0"/>
          <w:iCs w:val="0"/>
          <w:caps w:val="0"/>
          <w:color w:val="000000"/>
          <w:spacing w:val="0"/>
          <w:sz w:val="32"/>
          <w:szCs w:val="32"/>
          <w:shd w:val="clear" w:fill="FFFFFF"/>
          <w:lang w:val="en-US" w:eastAsia="zh-CN"/>
        </w:rPr>
        <w:t>2</w:t>
      </w:r>
      <w:r>
        <w:rPr>
          <w:rFonts w:hint="eastAsia" w:ascii="仿宋_GB2312" w:hAnsi="Calibri" w:eastAsia="仿宋_GB2312" w:cs="仿宋_GB2312"/>
          <w:i w:val="0"/>
          <w:iCs w:val="0"/>
          <w:caps w:val="0"/>
          <w:color w:val="000000"/>
          <w:spacing w:val="0"/>
          <w:sz w:val="32"/>
          <w:szCs w:val="32"/>
          <w:shd w:val="clear" w:fill="FFFFFF"/>
        </w:rPr>
        <w:t>条。</w:t>
      </w:r>
    </w:p>
    <w:p>
      <w:pPr>
        <w:pStyle w:val="9"/>
        <w:widowControl/>
        <w:shd w:val="clear" w:color="auto" w:fill="FFFFFF"/>
        <w:spacing w:before="0" w:beforeAutospacing="0" w:after="0" w:afterAutospacing="0"/>
        <w:ind w:firstLine="420"/>
        <w:jc w:val="both"/>
        <w:rPr>
          <w:rFonts w:hint="default" w:ascii="黑体" w:hAnsi="黑体" w:eastAsia="黑体" w:cs="黑体"/>
          <w:b w:val="0"/>
          <w:bCs/>
          <w:color w:val="auto"/>
          <w:sz w:val="32"/>
          <w:szCs w:val="32"/>
          <w:highlight w:val="none"/>
          <w:u w:val="none" w:color="auto"/>
          <w:shd w:val="clear" w:color="auto" w:fill="auto"/>
        </w:rPr>
      </w:pPr>
      <w:r>
        <w:rPr>
          <w:rFonts w:hint="eastAsia" w:ascii="黑体" w:hAnsi="黑体" w:eastAsia="黑体" w:cs="黑体"/>
          <w:b w:val="0"/>
          <w:bCs/>
          <w:color w:val="auto"/>
          <w:sz w:val="32"/>
          <w:szCs w:val="32"/>
          <w:highlight w:val="none"/>
          <w:u w:val="none" w:color="auto"/>
          <w:shd w:val="clear" w:color="auto" w:fill="auto"/>
        </w:rPr>
        <w:t>二、主动公开政府信息情况</w:t>
      </w:r>
    </w:p>
    <w:tbl>
      <w:tblPr>
        <w:tblStyle w:val="4"/>
        <w:tblW w:w="0" w:type="auto"/>
        <w:jc w:val="center"/>
        <w:tblLayout w:type="fixed"/>
        <w:tblCellMar>
          <w:top w:w="0" w:type="dxa"/>
          <w:left w:w="0" w:type="dxa"/>
          <w:bottom w:w="0" w:type="dxa"/>
          <w:right w:w="0" w:type="dxa"/>
        </w:tblCellMar>
      </w:tblPr>
      <w:tblGrid>
        <w:gridCol w:w="2435"/>
        <w:gridCol w:w="2435"/>
        <w:gridCol w:w="2435"/>
        <w:gridCol w:w="2435"/>
      </w:tblGrid>
      <w:tr>
        <w:tblPrEx>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第二十条第（一）项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信息内容</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本年制发件数</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本年废止件数</w:t>
            </w:r>
          </w:p>
        </w:tc>
        <w:tc>
          <w:tcPr>
            <w:tcW w:w="2435" w:type="dxa"/>
            <w:tcBorders>
              <w:top w:val="single" w:color="auto" w:sz="8" w:space="0"/>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现行有效件数</w:t>
            </w:r>
          </w:p>
        </w:tc>
      </w:tr>
      <w:tr>
        <w:tblPrEx>
          <w:tblCellMar>
            <w:top w:w="0" w:type="dxa"/>
            <w:left w:w="0" w:type="dxa"/>
            <w:bottom w:w="0" w:type="dxa"/>
            <w:right w:w="0" w:type="dxa"/>
          </w:tblCellMar>
        </w:tblPrEx>
        <w:trPr>
          <w:trHeight w:val="459"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left"/>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规章</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lang w:val="en-US" w:eastAsia="zh-CN"/>
              </w:rPr>
              <w:t>0</w:t>
            </w:r>
            <w:r>
              <w:rPr>
                <w:rFonts w:hint="eastAsia" w:ascii="宋体" w:hAnsi="宋体" w:eastAsia="宋体" w:cs="宋体"/>
                <w:color w:val="auto"/>
                <w:kern w:val="0"/>
                <w:sz w:val="20"/>
                <w:szCs w:val="20"/>
                <w:highlight w:val="none"/>
                <w:u w:val="none" w:color="auto"/>
                <w:shd w:val="clear" w:color="auto" w:fill="auto"/>
              </w:rPr>
              <w:t>　　</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 </w:t>
            </w:r>
            <w:r>
              <w:rPr>
                <w:rFonts w:hint="eastAsia" w:ascii="宋体" w:hAnsi="宋体" w:eastAsia="宋体" w:cs="宋体"/>
                <w:color w:val="auto"/>
                <w:kern w:val="0"/>
                <w:sz w:val="20"/>
                <w:szCs w:val="20"/>
                <w:highlight w:val="none"/>
                <w:u w:val="none" w:color="auto"/>
                <w:shd w:val="clear" w:color="auto" w:fill="auto"/>
                <w:lang w:val="en-US" w:eastAsia="zh-CN"/>
              </w:rPr>
              <w:t>0</w:t>
            </w:r>
            <w:r>
              <w:rPr>
                <w:rFonts w:hint="eastAsia" w:ascii="宋体" w:hAnsi="宋体" w:eastAsia="宋体" w:cs="宋体"/>
                <w:color w:val="auto"/>
                <w:kern w:val="0"/>
                <w:sz w:val="20"/>
                <w:szCs w:val="20"/>
                <w:highlight w:val="none"/>
                <w:u w:val="none" w:color="auto"/>
                <w:shd w:val="clear" w:color="auto" w:fill="auto"/>
              </w:rPr>
              <w:t>　</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lang w:val="en-US" w:eastAsia="zh-CN"/>
              </w:rPr>
              <w:t>0</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left"/>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行政规范性文件</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default" w:ascii="宋体" w:hAnsi="宋体" w:eastAsia="宋体" w:cs="宋体"/>
                <w:color w:val="auto"/>
                <w:kern w:val="0"/>
                <w:sz w:val="20"/>
                <w:szCs w:val="20"/>
                <w:highlight w:val="none"/>
                <w:u w:val="none" w:color="auto"/>
                <w:shd w:val="clear" w:color="auto" w:fill="auto"/>
              </w:rPr>
            </w:pPr>
            <w:r>
              <w:rPr>
                <w:rFonts w:hint="default" w:ascii="宋体" w:hAnsi="宋体" w:eastAsia="宋体" w:cs="宋体"/>
                <w:color w:val="auto"/>
                <w:kern w:val="0"/>
                <w:sz w:val="20"/>
                <w:szCs w:val="20"/>
                <w:highlight w:val="none"/>
                <w:u w:val="none" w:color="auto"/>
                <w:shd w:val="clear" w:color="auto" w:fill="auto"/>
                <w:lang w:eastAsia="zh-CN"/>
              </w:rPr>
              <w:t>0</w:t>
            </w:r>
            <w:r>
              <w:rPr>
                <w:rFonts w:hint="eastAsia" w:ascii="宋体" w:hAnsi="宋体" w:eastAsia="宋体" w:cs="宋体"/>
                <w:color w:val="auto"/>
                <w:kern w:val="0"/>
                <w:sz w:val="20"/>
                <w:szCs w:val="20"/>
                <w:highlight w:val="none"/>
                <w:u w:val="none" w:color="auto"/>
                <w:shd w:val="clear" w:color="auto" w:fill="auto"/>
              </w:rPr>
              <w:t>　　</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 </w:t>
            </w:r>
            <w:r>
              <w:rPr>
                <w:rFonts w:hint="eastAsia" w:ascii="宋体" w:hAnsi="宋体" w:eastAsia="宋体" w:cs="宋体"/>
                <w:color w:val="auto"/>
                <w:kern w:val="0"/>
                <w:sz w:val="20"/>
                <w:szCs w:val="20"/>
                <w:highlight w:val="none"/>
                <w:u w:val="none" w:color="auto"/>
                <w:shd w:val="clear" w:color="auto" w:fill="auto"/>
                <w:lang w:val="en-US" w:eastAsia="zh-CN"/>
              </w:rPr>
              <w:t>0</w:t>
            </w:r>
            <w:r>
              <w:rPr>
                <w:rFonts w:hint="eastAsia" w:ascii="宋体" w:hAnsi="宋体" w:eastAsia="宋体" w:cs="宋体"/>
                <w:color w:val="auto"/>
                <w:kern w:val="0"/>
                <w:sz w:val="20"/>
                <w:szCs w:val="20"/>
                <w:highlight w:val="none"/>
                <w:u w:val="none" w:color="auto"/>
                <w:shd w:val="clear" w:color="auto" w:fill="auto"/>
              </w:rPr>
              <w:t>　</w:t>
            </w:r>
          </w:p>
        </w:tc>
        <w:tc>
          <w:tcPr>
            <w:tcW w:w="2435"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default" w:ascii="宋体" w:hAnsi="宋体" w:eastAsia="宋体" w:cs="宋体"/>
                <w:color w:val="auto"/>
                <w:kern w:val="0"/>
                <w:sz w:val="20"/>
                <w:szCs w:val="20"/>
                <w:highlight w:val="none"/>
                <w:u w:val="none" w:color="auto"/>
                <w:shd w:val="clear" w:color="auto" w:fill="auto"/>
                <w:lang w:val="en-US" w:eastAsia="zh-CN"/>
              </w:rPr>
            </w:pPr>
            <w:r>
              <w:rPr>
                <w:rFonts w:hint="eastAsia" w:ascii="宋体" w:hAnsi="宋体" w:eastAsia="宋体" w:cs="宋体"/>
                <w:color w:val="auto"/>
                <w:kern w:val="0"/>
                <w:sz w:val="20"/>
                <w:szCs w:val="20"/>
                <w:highlight w:val="none"/>
                <w:u w:val="none" w:color="auto"/>
                <w:shd w:val="clear" w:color="auto" w:fill="auto"/>
                <w:lang w:val="en-US" w:eastAsia="zh-CN"/>
              </w:rPr>
              <w:t>0</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第二十条第（五）项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信息内容</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行政许可</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eastAsia" w:eastAsia="仿宋_GB2312"/>
                <w:color w:val="auto"/>
                <w:highlight w:val="none"/>
                <w:u w:val="none" w:color="auto"/>
                <w:shd w:val="clear" w:color="auto" w:fill="auto"/>
                <w:lang w:val="en-US" w:eastAsia="zh-CN"/>
              </w:rPr>
            </w:pPr>
            <w:r>
              <w:rPr>
                <w:rFonts w:hint="eastAsia" w:ascii="Calibri" w:hAnsi="Calibri" w:cs="Calibri"/>
                <w:color w:val="auto"/>
                <w:kern w:val="0"/>
                <w:sz w:val="21"/>
                <w:szCs w:val="21"/>
                <w:highlight w:val="none"/>
                <w:u w:val="none" w:color="auto"/>
                <w:shd w:val="clear" w:color="auto" w:fill="auto"/>
                <w:lang w:val="en-US" w:eastAsia="zh-CN"/>
              </w:rPr>
              <w:t>0</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第二十条第（六）项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信息内容</w:t>
            </w:r>
          </w:p>
        </w:tc>
        <w:tc>
          <w:tcPr>
            <w:tcW w:w="7305"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本年处理决定数量</w:t>
            </w:r>
          </w:p>
        </w:tc>
      </w:tr>
      <w:tr>
        <w:tblPrEx>
          <w:tblCellMar>
            <w:top w:w="0" w:type="dxa"/>
            <w:left w:w="0" w:type="dxa"/>
            <w:bottom w:w="0" w:type="dxa"/>
            <w:right w:w="0" w:type="dxa"/>
          </w:tblCellMar>
        </w:tblPrEx>
        <w:trPr>
          <w:trHeight w:val="414"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left"/>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行政处罚</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lang w:val="en-US" w:eastAsia="zh-CN"/>
              </w:rPr>
              <w:t>0</w:t>
            </w:r>
            <w:r>
              <w:rPr>
                <w:rFonts w:hint="eastAsia" w:ascii="宋体" w:hAnsi="宋体" w:eastAsia="宋体" w:cs="宋体"/>
                <w:color w:val="auto"/>
                <w:kern w:val="0"/>
                <w:sz w:val="20"/>
                <w:szCs w:val="20"/>
                <w:highlight w:val="none"/>
                <w:u w:val="none" w:color="auto"/>
                <w:shd w:val="clear" w:color="auto" w:fill="auto"/>
              </w:rPr>
              <w:t>　</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left"/>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行政强制</w:t>
            </w:r>
          </w:p>
        </w:tc>
        <w:tc>
          <w:tcPr>
            <w:tcW w:w="7305" w:type="dxa"/>
            <w:gridSpan w:val="3"/>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default" w:ascii="宋体" w:hAnsi="宋体" w:eastAsia="宋体" w:cs="宋体"/>
                <w:color w:val="auto"/>
                <w:kern w:val="0"/>
                <w:sz w:val="20"/>
                <w:szCs w:val="20"/>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lang w:val="en-US" w:eastAsia="zh-CN"/>
              </w:rPr>
              <w:t>0</w:t>
            </w:r>
            <w:r>
              <w:rPr>
                <w:rFonts w:hint="eastAsia" w:ascii="宋体" w:hAnsi="宋体" w:eastAsia="宋体" w:cs="宋体"/>
                <w:color w:val="auto"/>
                <w:kern w:val="0"/>
                <w:sz w:val="20"/>
                <w:szCs w:val="20"/>
                <w:highlight w:val="none"/>
                <w:u w:val="none" w:color="auto"/>
                <w:shd w:val="clear" w:color="auto" w:fill="auto"/>
              </w:rPr>
              <w:t>　</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第二十条第（八）项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信息内容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本年收费金额（单位：万元）</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行政事业性收费</w:t>
            </w:r>
          </w:p>
        </w:tc>
        <w:tc>
          <w:tcPr>
            <w:tcW w:w="7305" w:type="dxa"/>
            <w:gridSpan w:val="3"/>
            <w:tcBorders>
              <w:top w:val="nil"/>
              <w:left w:val="nil"/>
              <w:bottom w:val="single" w:color="auto" w:sz="8" w:space="0"/>
              <w:right w:val="single" w:color="000000" w:sz="8" w:space="0"/>
            </w:tcBorders>
            <w:noWrap w:val="0"/>
            <w:tcMar>
              <w:left w:w="57" w:type="dxa"/>
              <w:right w:w="57" w:type="dxa"/>
            </w:tcMar>
            <w:vAlign w:val="center"/>
          </w:tcPr>
          <w:p>
            <w:pPr>
              <w:jc w:val="center"/>
              <w:rPr>
                <w:rFonts w:hint="eastAsia" w:ascii="宋体" w:eastAsia="仿宋_GB2312"/>
                <w:color w:val="auto"/>
                <w:sz w:val="24"/>
                <w:szCs w:val="24"/>
                <w:highlight w:val="none"/>
                <w:u w:val="none" w:color="auto"/>
                <w:shd w:val="clear" w:color="auto" w:fill="auto"/>
                <w:lang w:val="en-US" w:eastAsia="zh-CN"/>
              </w:rPr>
            </w:pPr>
            <w:r>
              <w:rPr>
                <w:rFonts w:hint="eastAsia" w:ascii="宋体"/>
                <w:color w:val="auto"/>
                <w:sz w:val="24"/>
                <w:szCs w:val="24"/>
                <w:highlight w:val="none"/>
                <w:u w:val="none" w:color="auto"/>
                <w:shd w:val="clear" w:color="auto" w:fill="auto"/>
                <w:lang w:val="en-US" w:eastAsia="zh-CN"/>
              </w:rPr>
              <w:t>0</w:t>
            </w:r>
          </w:p>
        </w:tc>
      </w:tr>
    </w:tbl>
    <w:p>
      <w:pPr>
        <w:widowControl/>
        <w:jc w:val="left"/>
        <w:rPr>
          <w:color w:val="auto"/>
          <w:highlight w:val="none"/>
          <w:u w:val="none" w:color="auto"/>
          <w:shd w:val="clear" w:color="auto" w:fill="auto"/>
        </w:rPr>
      </w:pPr>
    </w:p>
    <w:p>
      <w:pPr>
        <w:pStyle w:val="9"/>
        <w:widowControl/>
        <w:shd w:val="clear" w:color="auto" w:fill="FFFFFF"/>
        <w:spacing w:before="0" w:beforeAutospacing="0" w:after="0" w:afterAutospacing="0"/>
        <w:ind w:firstLine="420"/>
        <w:jc w:val="both"/>
        <w:rPr>
          <w:rFonts w:hint="default" w:ascii="黑体" w:hAnsi="黑体" w:eastAsia="黑体" w:cs="黑体"/>
          <w:b w:val="0"/>
          <w:bCs/>
          <w:color w:val="auto"/>
          <w:sz w:val="32"/>
          <w:szCs w:val="32"/>
          <w:highlight w:val="none"/>
          <w:u w:val="none" w:color="auto"/>
          <w:shd w:val="clear" w:color="auto" w:fill="auto"/>
        </w:rPr>
      </w:pPr>
      <w:r>
        <w:rPr>
          <w:rFonts w:hint="eastAsia" w:ascii="黑体" w:hAnsi="黑体" w:eastAsia="黑体" w:cs="黑体"/>
          <w:b w:val="0"/>
          <w:bCs/>
          <w:color w:val="auto"/>
          <w:sz w:val="32"/>
          <w:szCs w:val="32"/>
          <w:highlight w:val="none"/>
          <w:u w:val="none" w:color="auto"/>
          <w:shd w:val="clear" w:color="auto" w:fill="auto"/>
        </w:rPr>
        <w:t>三、收到和处理政府信息公开申请情况</w:t>
      </w:r>
    </w:p>
    <w:p>
      <w:pPr>
        <w:pStyle w:val="9"/>
        <w:widowControl/>
        <w:shd w:val="clear" w:color="auto" w:fill="FFFFFF"/>
        <w:spacing w:before="0" w:beforeAutospacing="0" w:after="0" w:afterAutospacing="0"/>
        <w:ind w:firstLine="420"/>
        <w:jc w:val="both"/>
        <w:rPr>
          <w:rFonts w:hint="default" w:ascii="宋体" w:hAnsi="宋体" w:eastAsia="宋体" w:cs="宋体"/>
          <w:color w:val="auto"/>
          <w:szCs w:val="24"/>
          <w:highlight w:val="none"/>
          <w:u w:val="none" w:color="auto"/>
          <w:shd w:val="clear" w:color="auto" w:fill="auto"/>
        </w:rPr>
      </w:pPr>
    </w:p>
    <w:tbl>
      <w:tblPr>
        <w:tblStyle w:val="4"/>
        <w:tblW w:w="9745"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767"/>
        <w:gridCol w:w="943"/>
        <w:gridCol w:w="3219"/>
        <w:gridCol w:w="688"/>
        <w:gridCol w:w="688"/>
        <w:gridCol w:w="688"/>
        <w:gridCol w:w="688"/>
        <w:gridCol w:w="688"/>
        <w:gridCol w:w="688"/>
        <w:gridCol w:w="688"/>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widowControl/>
              <w:jc w:val="left"/>
              <w:rPr>
                <w:color w:val="auto"/>
                <w:highlight w:val="none"/>
                <w:u w:val="none" w:color="auto"/>
                <w:shd w:val="clear" w:color="auto" w:fill="auto"/>
              </w:rPr>
            </w:pPr>
            <w:r>
              <w:rPr>
                <w:rFonts w:hint="default" w:ascii="楷体" w:hAnsi="楷体" w:eastAsia="楷体" w:cs="楷体"/>
                <w:color w:val="auto"/>
                <w:kern w:val="0"/>
                <w:sz w:val="20"/>
                <w:szCs w:val="20"/>
                <w:highlight w:val="none"/>
                <w:u w:val="none" w:color="auto"/>
                <w:shd w:val="clear" w:color="auto" w:fill="auto"/>
              </w:rPr>
              <w:t>（本列数据的勾稽关系为：第一项加第二项之和，等于第三项加第四项之和）</w:t>
            </w:r>
          </w:p>
        </w:tc>
        <w:tc>
          <w:tcPr>
            <w:tcW w:w="4816"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申请人情况</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default" w:ascii="宋体"/>
                <w:color w:val="auto"/>
                <w:sz w:val="24"/>
                <w:szCs w:val="24"/>
                <w:highlight w:val="none"/>
                <w:u w:val="none" w:color="auto"/>
                <w:shd w:val="clear" w:color="auto" w:fill="auto"/>
              </w:rPr>
            </w:pPr>
          </w:p>
        </w:tc>
        <w:tc>
          <w:tcPr>
            <w:tcW w:w="688" w:type="dxa"/>
            <w:vMerge w:val="restart"/>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自然人</w:t>
            </w:r>
          </w:p>
        </w:tc>
        <w:tc>
          <w:tcPr>
            <w:tcW w:w="344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法人或其他组织</w:t>
            </w:r>
          </w:p>
        </w:tc>
        <w:tc>
          <w:tcPr>
            <w:tcW w:w="688" w:type="dxa"/>
            <w:vMerge w:val="restart"/>
            <w:tcBorders>
              <w:top w:val="single" w:color="auto" w:sz="8" w:space="0"/>
              <w:left w:val="nil"/>
              <w:bottom w:val="outset"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总计</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default" w:ascii="宋体"/>
                <w:color w:val="auto"/>
                <w:sz w:val="24"/>
                <w:szCs w:val="24"/>
                <w:highlight w:val="none"/>
                <w:u w:val="none" w:color="auto"/>
                <w:shd w:val="clear" w:color="auto" w:fill="auto"/>
              </w:rPr>
            </w:pPr>
          </w:p>
        </w:tc>
        <w:tc>
          <w:tcPr>
            <w:tcW w:w="688"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688" w:type="dxa"/>
            <w:tcBorders>
              <w:top w:val="nil"/>
              <w:left w:val="nil"/>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商业</w:t>
            </w:r>
          </w:p>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企业</w:t>
            </w:r>
          </w:p>
        </w:tc>
        <w:tc>
          <w:tcPr>
            <w:tcW w:w="688" w:type="dxa"/>
            <w:tcBorders>
              <w:top w:val="nil"/>
              <w:left w:val="nil"/>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科研</w:t>
            </w:r>
          </w:p>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机构</w:t>
            </w:r>
          </w:p>
        </w:tc>
        <w:tc>
          <w:tcPr>
            <w:tcW w:w="688"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社会公益组织</w:t>
            </w:r>
          </w:p>
        </w:tc>
        <w:tc>
          <w:tcPr>
            <w:tcW w:w="688"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法律服务机构</w:t>
            </w:r>
          </w:p>
        </w:tc>
        <w:tc>
          <w:tcPr>
            <w:tcW w:w="688"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其他</w:t>
            </w:r>
          </w:p>
        </w:tc>
        <w:tc>
          <w:tcPr>
            <w:tcW w:w="688" w:type="dxa"/>
            <w:vMerge w:val="continue"/>
            <w:tcBorders>
              <w:top w:val="single" w:color="auto" w:sz="8" w:space="0"/>
              <w:left w:val="nil"/>
              <w:bottom w:val="outset" w:color="auto" w:sz="8" w:space="0"/>
              <w:right w:val="single" w:color="auto" w:sz="8" w:space="0"/>
            </w:tcBorders>
            <w:noWrap w:val="0"/>
            <w:tcMar>
              <w:left w:w="108" w:type="dxa"/>
              <w:right w:w="108" w:type="dxa"/>
            </w:tcMar>
            <w:vAlign w:val="center"/>
          </w:tcPr>
          <w:p>
            <w:pPr>
              <w:rPr>
                <w:rFonts w:hint="default" w:ascii="宋体"/>
                <w:color w:val="auto"/>
                <w:sz w:val="24"/>
                <w:szCs w:val="24"/>
                <w:highlight w:val="none"/>
                <w:u w:val="none" w:color="auto"/>
                <w:shd w:val="clear" w:color="auto" w:fill="auto"/>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一、本年新收政府信息公开申请数量</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rFonts w:hint="eastAsia" w:eastAsia="仿宋_GB2312"/>
                <w:color w:val="auto"/>
                <w:highlight w:val="none"/>
                <w:u w:val="none" w:color="auto"/>
                <w:shd w:val="clear" w:color="auto" w:fill="auto"/>
                <w:lang w:val="en-US" w:eastAsia="zh-CN"/>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二、上年结转政府信息公开申请数量</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三、本年度办理结果</w:t>
            </w:r>
          </w:p>
        </w:tc>
        <w:tc>
          <w:tcPr>
            <w:tcW w:w="4162" w:type="dxa"/>
            <w:gridSpan w:val="2"/>
            <w:tcBorders>
              <w:top w:val="nil"/>
              <w:left w:val="nil"/>
              <w:bottom w:val="single"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（一）予以公开</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4162" w:type="dxa"/>
            <w:gridSpan w:val="2"/>
            <w:tcBorders>
              <w:top w:val="nil"/>
              <w:left w:val="nil"/>
              <w:bottom w:val="single"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（二）部分公开</w:t>
            </w:r>
            <w:r>
              <w:rPr>
                <w:rFonts w:hint="eastAsia" w:ascii="楷体" w:hAnsi="楷体" w:eastAsia="楷体" w:cs="楷体"/>
                <w:color w:val="auto"/>
                <w:kern w:val="0"/>
                <w:sz w:val="20"/>
                <w:szCs w:val="20"/>
                <w:highlight w:val="none"/>
                <w:u w:val="none" w:color="auto"/>
                <w:shd w:val="clear" w:color="auto" w:fill="auto"/>
              </w:rPr>
              <w:t>（区分处理的，只计这一情形，不计其他情形）</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（三）不予公开</w:t>
            </w: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1</w:t>
            </w:r>
            <w:r>
              <w:rPr>
                <w:rFonts w:hint="eastAsia" w:ascii="宋体" w:hAnsi="宋体" w:eastAsia="宋体" w:cs="宋体"/>
                <w:color w:val="auto"/>
                <w:kern w:val="0"/>
                <w:sz w:val="20"/>
                <w:szCs w:val="20"/>
                <w:highlight w:val="none"/>
                <w:u w:val="none" w:color="auto"/>
                <w:shd w:val="clear" w:color="auto" w:fill="auto"/>
              </w:rPr>
              <w:t>.属于国家秘密</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single" w:color="auto" w:sz="8" w:space="0"/>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2</w:t>
            </w:r>
            <w:r>
              <w:rPr>
                <w:rFonts w:hint="eastAsia" w:ascii="宋体" w:hAnsi="宋体" w:eastAsia="宋体" w:cs="宋体"/>
                <w:color w:val="auto"/>
                <w:kern w:val="0"/>
                <w:sz w:val="20"/>
                <w:szCs w:val="20"/>
                <w:highlight w:val="none"/>
                <w:u w:val="none" w:color="auto"/>
                <w:shd w:val="clear" w:color="auto" w:fill="auto"/>
              </w:rPr>
              <w:t>.其他法律行政法规禁止公开</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rFonts w:hint="eastAsia" w:eastAsia="宋体"/>
                <w:color w:val="auto"/>
                <w:highlight w:val="none"/>
                <w:u w:val="none" w:color="auto"/>
                <w:shd w:val="clear" w:color="auto" w:fill="auto"/>
                <w:lang w:eastAsia="zh-CN"/>
              </w:rPr>
            </w:pPr>
            <w:r>
              <w:rPr>
                <w:rFonts w:hint="default" w:ascii="Times New Roman" w:hAnsi="Times New Roman" w:eastAsia="宋体" w:cs="Times New Roman"/>
                <w:color w:val="auto"/>
                <w:kern w:val="0"/>
                <w:sz w:val="20"/>
                <w:szCs w:val="20"/>
                <w:highlight w:val="none"/>
                <w:u w:val="none" w:color="auto"/>
                <w:shd w:val="clear" w:color="auto" w:fill="auto"/>
              </w:rPr>
              <w:t>3</w:t>
            </w:r>
            <w:r>
              <w:rPr>
                <w:rFonts w:hint="eastAsia" w:ascii="宋体" w:hAnsi="宋体" w:eastAsia="宋体" w:cs="宋体"/>
                <w:color w:val="auto"/>
                <w:kern w:val="0"/>
                <w:sz w:val="20"/>
                <w:szCs w:val="20"/>
                <w:highlight w:val="none"/>
                <w:u w:val="none" w:color="auto"/>
                <w:shd w:val="clear" w:color="auto" w:fill="auto"/>
              </w:rPr>
              <w:t>.危及</w:t>
            </w:r>
            <w:r>
              <w:rPr>
                <w:rFonts w:hint="eastAsia" w:ascii="宋体" w:hAnsi="宋体" w:eastAsia="宋体" w:cs="宋体"/>
                <w:color w:val="auto"/>
                <w:kern w:val="0"/>
                <w:sz w:val="20"/>
                <w:szCs w:val="20"/>
                <w:highlight w:val="none"/>
                <w:u w:val="none" w:color="auto"/>
                <w:shd w:val="clear" w:color="auto" w:fill="auto"/>
                <w:lang w:eastAsia="zh-CN"/>
              </w:rPr>
              <w:t>“</w:t>
            </w:r>
            <w:r>
              <w:rPr>
                <w:rFonts w:hint="eastAsia" w:ascii="宋体" w:hAnsi="宋体" w:eastAsia="宋体" w:cs="宋体"/>
                <w:color w:val="auto"/>
                <w:kern w:val="0"/>
                <w:sz w:val="20"/>
                <w:szCs w:val="20"/>
                <w:highlight w:val="none"/>
                <w:u w:val="none" w:color="auto"/>
                <w:shd w:val="clear" w:color="auto" w:fill="auto"/>
              </w:rPr>
              <w:t>三安全一稳定</w:t>
            </w:r>
            <w:r>
              <w:rPr>
                <w:rFonts w:hint="eastAsia" w:ascii="宋体" w:hAnsi="宋体" w:eastAsia="宋体" w:cs="宋体"/>
                <w:color w:val="auto"/>
                <w:kern w:val="0"/>
                <w:sz w:val="20"/>
                <w:szCs w:val="20"/>
                <w:highlight w:val="none"/>
                <w:u w:val="none" w:color="auto"/>
                <w:shd w:val="clear" w:color="auto" w:fill="auto"/>
                <w:lang w:eastAsia="zh-CN"/>
              </w:rPr>
              <w:t>”</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4</w:t>
            </w:r>
            <w:r>
              <w:rPr>
                <w:rFonts w:hint="eastAsia" w:ascii="宋体" w:hAnsi="宋体" w:eastAsia="宋体" w:cs="宋体"/>
                <w:color w:val="auto"/>
                <w:kern w:val="0"/>
                <w:sz w:val="20"/>
                <w:szCs w:val="20"/>
                <w:highlight w:val="none"/>
                <w:u w:val="none" w:color="auto"/>
                <w:shd w:val="clear" w:color="auto" w:fill="auto"/>
              </w:rPr>
              <w:t>.保护第三方合法权益</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5</w:t>
            </w:r>
            <w:r>
              <w:rPr>
                <w:rFonts w:hint="eastAsia" w:ascii="宋体" w:hAnsi="宋体" w:eastAsia="宋体" w:cs="宋体"/>
                <w:color w:val="auto"/>
                <w:kern w:val="0"/>
                <w:sz w:val="20"/>
                <w:szCs w:val="20"/>
                <w:highlight w:val="none"/>
                <w:u w:val="none" w:color="auto"/>
                <w:shd w:val="clear" w:color="auto" w:fill="auto"/>
              </w:rPr>
              <w:t>.属于三类内部事务信息</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6</w:t>
            </w:r>
            <w:r>
              <w:rPr>
                <w:rFonts w:hint="eastAsia" w:ascii="宋体" w:hAnsi="宋体" w:eastAsia="宋体" w:cs="宋体"/>
                <w:color w:val="auto"/>
                <w:kern w:val="0"/>
                <w:sz w:val="20"/>
                <w:szCs w:val="20"/>
                <w:highlight w:val="none"/>
                <w:u w:val="none" w:color="auto"/>
                <w:shd w:val="clear" w:color="auto" w:fill="auto"/>
              </w:rPr>
              <w:t>.属于四类过程性信息</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7</w:t>
            </w:r>
            <w:r>
              <w:rPr>
                <w:rFonts w:hint="eastAsia" w:ascii="宋体" w:hAnsi="宋体" w:eastAsia="宋体" w:cs="宋体"/>
                <w:color w:val="auto"/>
                <w:kern w:val="0"/>
                <w:sz w:val="20"/>
                <w:szCs w:val="20"/>
                <w:highlight w:val="none"/>
                <w:u w:val="none" w:color="auto"/>
                <w:shd w:val="clear" w:color="auto" w:fill="auto"/>
              </w:rPr>
              <w:t>.属于行政执法案卷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8</w:t>
            </w:r>
            <w:r>
              <w:rPr>
                <w:rFonts w:hint="eastAsia" w:ascii="宋体" w:hAnsi="宋体" w:eastAsia="宋体" w:cs="宋体"/>
                <w:color w:val="auto"/>
                <w:kern w:val="0"/>
                <w:sz w:val="20"/>
                <w:szCs w:val="20"/>
                <w:highlight w:val="none"/>
                <w:u w:val="none" w:color="auto"/>
                <w:shd w:val="clear" w:color="auto" w:fill="auto"/>
              </w:rPr>
              <w:t>.属于行政查询事项</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（四）无法提供</w:t>
            </w: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1</w:t>
            </w:r>
            <w:r>
              <w:rPr>
                <w:rFonts w:hint="eastAsia" w:ascii="宋体" w:hAnsi="宋体" w:eastAsia="宋体" w:cs="宋体"/>
                <w:color w:val="auto"/>
                <w:kern w:val="0"/>
                <w:sz w:val="20"/>
                <w:szCs w:val="20"/>
                <w:highlight w:val="none"/>
                <w:u w:val="none" w:color="auto"/>
                <w:shd w:val="clear" w:color="auto" w:fill="auto"/>
              </w:rPr>
              <w:t>.本机关不掌握相关政府信息</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2</w:t>
            </w:r>
            <w:r>
              <w:rPr>
                <w:rFonts w:hint="eastAsia" w:ascii="宋体" w:hAnsi="宋体" w:eastAsia="宋体" w:cs="宋体"/>
                <w:color w:val="auto"/>
                <w:kern w:val="0"/>
                <w:sz w:val="20"/>
                <w:szCs w:val="20"/>
                <w:highlight w:val="none"/>
                <w:u w:val="none" w:color="auto"/>
                <w:shd w:val="clear" w:color="auto" w:fill="auto"/>
              </w:rPr>
              <w:t>.没有现成信息需要另行制作</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3</w:t>
            </w:r>
            <w:r>
              <w:rPr>
                <w:rFonts w:hint="eastAsia" w:ascii="宋体" w:hAnsi="宋体" w:eastAsia="宋体" w:cs="宋体"/>
                <w:color w:val="auto"/>
                <w:kern w:val="0"/>
                <w:sz w:val="20"/>
                <w:szCs w:val="20"/>
                <w:highlight w:val="none"/>
                <w:u w:val="none" w:color="auto"/>
                <w:shd w:val="clear" w:color="auto" w:fill="auto"/>
              </w:rPr>
              <w:t>.补正后申请内容仍不明确</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（五）不予处理</w:t>
            </w: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1</w:t>
            </w:r>
            <w:r>
              <w:rPr>
                <w:rFonts w:hint="eastAsia" w:ascii="宋体" w:hAnsi="宋体" w:eastAsia="宋体" w:cs="宋体"/>
                <w:color w:val="auto"/>
                <w:kern w:val="0"/>
                <w:sz w:val="20"/>
                <w:szCs w:val="20"/>
                <w:highlight w:val="none"/>
                <w:u w:val="none" w:color="auto"/>
                <w:shd w:val="clear" w:color="auto" w:fill="auto"/>
              </w:rPr>
              <w:t>.信访举报投诉类申请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2</w:t>
            </w:r>
            <w:r>
              <w:rPr>
                <w:rFonts w:hint="eastAsia" w:ascii="宋体" w:hAnsi="宋体" w:eastAsia="宋体" w:cs="宋体"/>
                <w:color w:val="auto"/>
                <w:kern w:val="0"/>
                <w:sz w:val="20"/>
                <w:szCs w:val="20"/>
                <w:highlight w:val="none"/>
                <w:u w:val="none" w:color="auto"/>
                <w:shd w:val="clear" w:color="auto" w:fill="auto"/>
              </w:rPr>
              <w:t>.重复申请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3</w:t>
            </w:r>
            <w:r>
              <w:rPr>
                <w:rFonts w:hint="eastAsia" w:ascii="宋体" w:hAnsi="宋体" w:eastAsia="宋体" w:cs="宋体"/>
                <w:color w:val="auto"/>
                <w:kern w:val="0"/>
                <w:sz w:val="20"/>
                <w:szCs w:val="20"/>
                <w:highlight w:val="none"/>
                <w:u w:val="none" w:color="auto"/>
                <w:shd w:val="clear" w:color="auto" w:fill="auto"/>
              </w:rPr>
              <w:t>.要求提供公开出版物</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top"/>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4</w:t>
            </w:r>
            <w:r>
              <w:rPr>
                <w:rFonts w:hint="eastAsia" w:ascii="宋体" w:hAnsi="宋体" w:eastAsia="宋体" w:cs="宋体"/>
                <w:color w:val="auto"/>
                <w:kern w:val="0"/>
                <w:sz w:val="20"/>
                <w:szCs w:val="20"/>
                <w:highlight w:val="none"/>
                <w:u w:val="none" w:color="auto"/>
                <w:shd w:val="clear" w:color="auto" w:fill="auto"/>
              </w:rPr>
              <w:t>.无正当理由大量反复申请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outset" w:color="auto" w:sz="8" w:space="0"/>
              <w:right w:val="single" w:color="auto" w:sz="8" w:space="0"/>
            </w:tcBorders>
            <w:noWrap w:val="0"/>
            <w:tcMar>
              <w:left w:w="57" w:type="dxa"/>
              <w:right w:w="57" w:type="dxa"/>
            </w:tcMar>
            <w:vAlign w:val="center"/>
          </w:tcPr>
          <w:p>
            <w:pPr>
              <w:widowControl/>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5</w:t>
            </w:r>
            <w:r>
              <w:rPr>
                <w:rFonts w:hint="eastAsia" w:ascii="宋体" w:hAnsi="宋体" w:eastAsia="宋体" w:cs="宋体"/>
                <w:color w:val="auto"/>
                <w:kern w:val="0"/>
                <w:sz w:val="20"/>
                <w:szCs w:val="20"/>
                <w:highlight w:val="none"/>
                <w:u w:val="none" w:color="auto"/>
                <w:shd w:val="clear" w:color="auto" w:fill="auto"/>
              </w:rPr>
              <w:t>.要求行政机关确认或重新出具已获取信息</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outset"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（六）其他处理</w:t>
            </w:r>
          </w:p>
        </w:tc>
        <w:tc>
          <w:tcPr>
            <w:tcW w:w="3219" w:type="dxa"/>
            <w:tcBorders>
              <w:top w:val="nil"/>
              <w:left w:val="nil"/>
              <w:bottom w:val="single" w:color="auto" w:sz="8" w:space="0"/>
              <w:right w:val="single" w:color="auto" w:sz="8" w:space="0"/>
            </w:tcBorders>
            <w:noWrap w:val="0"/>
            <w:tcMar>
              <w:left w:w="57" w:type="dxa"/>
              <w:right w:w="57" w:type="dxa"/>
            </w:tcMar>
            <w:vAlign w:val="center"/>
          </w:tcPr>
          <w:p>
            <w:pPr>
              <w:widowControl/>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1</w:t>
            </w:r>
            <w:r>
              <w:rPr>
                <w:rFonts w:hint="eastAsia" w:ascii="宋体" w:hAnsi="宋体" w:eastAsia="宋体" w:cs="宋体"/>
                <w:color w:val="auto"/>
                <w:kern w:val="0"/>
                <w:sz w:val="20"/>
                <w:szCs w:val="20"/>
                <w:highlight w:val="none"/>
                <w:u w:val="none" w:color="auto"/>
                <w:shd w:val="clear" w:color="auto" w:fill="auto"/>
              </w:rPr>
              <w:t>.申请人无正当理由逾期不补正、行政机关不再处理其政府信息公开申请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center"/>
          </w:tcPr>
          <w:p>
            <w:pPr>
              <w:widowControl/>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2</w:t>
            </w:r>
            <w:r>
              <w:rPr>
                <w:rFonts w:hint="eastAsia" w:ascii="宋体" w:hAnsi="宋体" w:eastAsia="宋体" w:cs="宋体"/>
                <w:color w:val="auto"/>
                <w:kern w:val="0"/>
                <w:sz w:val="20"/>
                <w:szCs w:val="20"/>
                <w:highlight w:val="none"/>
                <w:u w:val="none" w:color="auto"/>
                <w:shd w:val="clear" w:color="auto" w:fill="auto"/>
              </w:rPr>
              <w:t>.申请人逾期未按收费通知要求缴纳费用、行政机关不再处理其政府信息公开申请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3219" w:type="dxa"/>
            <w:tcBorders>
              <w:top w:val="nil"/>
              <w:left w:val="nil"/>
              <w:bottom w:val="single"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default" w:ascii="Times New Roman" w:hAnsi="Times New Roman" w:eastAsia="宋体" w:cs="Times New Roman"/>
                <w:color w:val="auto"/>
                <w:kern w:val="0"/>
                <w:sz w:val="20"/>
                <w:szCs w:val="20"/>
                <w:highlight w:val="none"/>
                <w:u w:val="none" w:color="auto"/>
                <w:shd w:val="clear" w:color="auto" w:fill="auto"/>
              </w:rPr>
              <w:t>3</w:t>
            </w:r>
            <w:r>
              <w:rPr>
                <w:rFonts w:hint="eastAsia" w:ascii="宋体" w:hAnsi="宋体" w:eastAsia="宋体" w:cs="宋体"/>
                <w:color w:val="auto"/>
                <w:kern w:val="0"/>
                <w:sz w:val="20"/>
                <w:szCs w:val="20"/>
                <w:highlight w:val="none"/>
                <w:u w:val="none" w:color="auto"/>
                <w:shd w:val="clear" w:color="auto" w:fill="auto"/>
              </w:rPr>
              <w:t>.其他</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default" w:ascii="宋体"/>
                <w:color w:val="auto"/>
                <w:sz w:val="24"/>
                <w:szCs w:val="24"/>
                <w:highlight w:val="none"/>
                <w:u w:val="none" w:color="auto"/>
                <w:shd w:val="clear" w:color="auto" w:fill="auto"/>
              </w:rPr>
            </w:pPr>
          </w:p>
        </w:tc>
        <w:tc>
          <w:tcPr>
            <w:tcW w:w="4162" w:type="dxa"/>
            <w:gridSpan w:val="2"/>
            <w:tcBorders>
              <w:top w:val="nil"/>
              <w:left w:val="nil"/>
              <w:bottom w:val="single"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（七）总计</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widowControl/>
              <w:jc w:val="left"/>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四、结转下年度继续办理</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eastAsia" w:ascii="Calibri" w:hAnsi="Calibri" w:cs="Calibri"/>
                <w:color w:val="auto"/>
                <w:kern w:val="0"/>
                <w:sz w:val="20"/>
                <w:szCs w:val="20"/>
                <w:highlight w:val="none"/>
                <w:u w:val="none" w:color="auto"/>
                <w:shd w:val="clear" w:color="auto" w:fill="auto"/>
                <w:lang w:val="en-US" w:eastAsia="zh-CN"/>
              </w:rPr>
              <w:t>0</w:t>
            </w:r>
            <w:r>
              <w:rPr>
                <w:rFonts w:hint="default" w:ascii="Calibri" w:hAnsi="Calibri" w:cs="Calibri"/>
                <w:color w:val="auto"/>
                <w:kern w:val="0"/>
                <w:sz w:val="20"/>
                <w:szCs w:val="20"/>
                <w:highlight w:val="none"/>
                <w:u w:val="none" w:color="auto"/>
                <w:shd w:val="clear" w:color="auto" w:fill="auto"/>
              </w:rPr>
              <w:t> </w:t>
            </w:r>
          </w:p>
        </w:tc>
        <w:tc>
          <w:tcPr>
            <w:tcW w:w="688" w:type="dxa"/>
            <w:tcBorders>
              <w:top w:val="nil"/>
              <w:left w:val="nil"/>
              <w:bottom w:val="single" w:color="auto" w:sz="8" w:space="0"/>
              <w:right w:val="single" w:color="auto" w:sz="8" w:space="0"/>
            </w:tcBorders>
            <w:noWrap w:val="0"/>
            <w:tcMar>
              <w:left w:w="57" w:type="dxa"/>
              <w:right w:w="57" w:type="dxa"/>
            </w:tcMar>
            <w:vAlign w:val="center"/>
          </w:tcPr>
          <w:p>
            <w:pPr>
              <w:widowControl/>
              <w:jc w:val="center"/>
              <w:rPr>
                <w:color w:val="auto"/>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c>
          <w:tcPr>
            <w:tcW w:w="688" w:type="dxa"/>
            <w:tcBorders>
              <w:top w:val="nil"/>
              <w:left w:val="nil"/>
              <w:bottom w:val="single" w:color="auto" w:sz="8" w:space="0"/>
              <w:right w:val="single" w:color="auto" w:sz="8" w:space="0"/>
            </w:tcBorders>
            <w:noWrap w:val="0"/>
            <w:tcMar>
              <w:left w:w="57" w:type="dxa"/>
              <w:right w:w="57" w:type="dxa"/>
            </w:tcMar>
            <w:vAlign w:val="top"/>
          </w:tcPr>
          <w:p>
            <w:pPr>
              <w:widowControl/>
              <w:jc w:val="center"/>
              <w:rPr>
                <w:rFonts w:hint="default" w:ascii="宋体"/>
                <w:color w:val="auto"/>
                <w:sz w:val="24"/>
                <w:szCs w:val="24"/>
                <w:highlight w:val="none"/>
                <w:u w:val="none" w:color="auto"/>
                <w:shd w:val="clear" w:color="auto" w:fill="auto"/>
              </w:rPr>
            </w:pPr>
            <w:r>
              <w:rPr>
                <w:rFonts w:hint="default" w:ascii="Calibri" w:hAnsi="Calibri" w:cs="Calibri"/>
                <w:color w:val="auto"/>
                <w:kern w:val="0"/>
                <w:sz w:val="20"/>
                <w:szCs w:val="20"/>
                <w:highlight w:val="none"/>
                <w:u w:val="none" w:color="auto"/>
                <w:shd w:val="clear" w:color="auto" w:fill="auto"/>
              </w:rPr>
              <w:t> </w:t>
            </w:r>
            <w:r>
              <w:rPr>
                <w:rFonts w:hint="eastAsia" w:ascii="Calibri" w:hAnsi="Calibri" w:cs="Calibri"/>
                <w:color w:val="auto"/>
                <w:kern w:val="0"/>
                <w:sz w:val="20"/>
                <w:szCs w:val="20"/>
                <w:highlight w:val="none"/>
                <w:u w:val="none" w:color="auto"/>
                <w:shd w:val="clear" w:color="auto" w:fill="auto"/>
                <w:lang w:val="en-US" w:eastAsia="zh-CN"/>
              </w:rPr>
              <w:t>0</w:t>
            </w:r>
          </w:p>
        </w:tc>
      </w:tr>
    </w:tbl>
    <w:p>
      <w:pPr>
        <w:widowControl/>
        <w:shd w:val="clear" w:color="auto" w:fill="FFFFFF"/>
        <w:jc w:val="center"/>
        <w:rPr>
          <w:rFonts w:hint="default" w:ascii="宋体" w:hAnsi="宋体" w:eastAsia="宋体" w:cs="宋体"/>
          <w:color w:val="auto"/>
          <w:sz w:val="24"/>
          <w:szCs w:val="24"/>
          <w:highlight w:val="none"/>
          <w:u w:val="none" w:color="auto"/>
          <w:shd w:val="clear" w:color="auto" w:fill="auto"/>
        </w:rPr>
      </w:pPr>
    </w:p>
    <w:p>
      <w:pPr>
        <w:pStyle w:val="9"/>
        <w:widowControl/>
        <w:shd w:val="clear" w:color="auto" w:fill="FFFFFF"/>
        <w:spacing w:before="0" w:beforeAutospacing="0" w:after="0" w:afterAutospacing="0"/>
        <w:ind w:firstLine="420"/>
        <w:jc w:val="both"/>
        <w:rPr>
          <w:rFonts w:hint="default" w:ascii="黑体" w:hAnsi="黑体" w:eastAsia="黑体" w:cs="黑体"/>
          <w:b w:val="0"/>
          <w:bCs/>
          <w:color w:val="auto"/>
          <w:sz w:val="32"/>
          <w:szCs w:val="32"/>
          <w:highlight w:val="none"/>
          <w:u w:val="none" w:color="auto"/>
          <w:shd w:val="clear" w:color="auto" w:fill="auto"/>
        </w:rPr>
      </w:pPr>
      <w:r>
        <w:rPr>
          <w:rFonts w:hint="eastAsia" w:ascii="黑体" w:hAnsi="黑体" w:eastAsia="黑体" w:cs="黑体"/>
          <w:b w:val="0"/>
          <w:bCs/>
          <w:color w:val="auto"/>
          <w:sz w:val="32"/>
          <w:szCs w:val="32"/>
          <w:highlight w:val="none"/>
          <w:u w:val="none" w:color="auto"/>
          <w:shd w:val="clear" w:color="auto" w:fill="auto"/>
        </w:rPr>
        <w:t>四、政府信息公开行政复议、行政诉讼情况</w:t>
      </w:r>
    </w:p>
    <w:p>
      <w:pPr>
        <w:widowControl/>
        <w:shd w:val="clear" w:color="auto" w:fill="FFFFFF"/>
        <w:jc w:val="center"/>
        <w:rPr>
          <w:rFonts w:hint="default" w:ascii="宋体" w:hAnsi="宋体" w:eastAsia="宋体" w:cs="宋体"/>
          <w:color w:val="auto"/>
          <w:sz w:val="24"/>
          <w:szCs w:val="24"/>
          <w:highlight w:val="none"/>
          <w:u w:val="none" w:color="auto"/>
          <w:shd w:val="clear" w:color="auto" w:fill="auto"/>
        </w:rPr>
      </w:pPr>
    </w:p>
    <w:tbl>
      <w:tblPr>
        <w:tblStyle w:val="4"/>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0"/>
        <w:gridCol w:w="650"/>
        <w:gridCol w:w="650"/>
        <w:gridCol w:w="650"/>
        <w:gridCol w:w="65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行政复议</w:t>
            </w:r>
          </w:p>
        </w:tc>
        <w:tc>
          <w:tcPr>
            <w:tcW w:w="6498"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行政诉讼</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结果维持</w:t>
            </w:r>
          </w:p>
        </w:tc>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结果</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纠正</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其他</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结果</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尚未</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审结</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总计</w:t>
            </w:r>
          </w:p>
        </w:tc>
        <w:tc>
          <w:tcPr>
            <w:tcW w:w="324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未经复议直接起诉</w:t>
            </w:r>
          </w:p>
        </w:tc>
        <w:tc>
          <w:tcPr>
            <w:tcW w:w="3250"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复议后起诉</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default" w:ascii="宋体"/>
                <w:color w:val="auto"/>
                <w:sz w:val="24"/>
                <w:szCs w:val="24"/>
                <w:highlight w:val="none"/>
                <w:u w:val="none" w:color="auto"/>
                <w:shd w:val="clear" w:color="auto" w:fill="auto"/>
              </w:rPr>
            </w:pPr>
          </w:p>
        </w:tc>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default" w:ascii="宋体"/>
                <w:color w:val="auto"/>
                <w:sz w:val="24"/>
                <w:szCs w:val="24"/>
                <w:highlight w:val="none"/>
                <w:u w:val="none" w:color="auto"/>
                <w:shd w:val="clear" w:color="auto" w:fill="auto"/>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default" w:ascii="宋体"/>
                <w:color w:val="auto"/>
                <w:sz w:val="24"/>
                <w:szCs w:val="24"/>
                <w:highlight w:val="none"/>
                <w:u w:val="none" w:color="auto"/>
                <w:shd w:val="clear" w:color="auto" w:fill="auto"/>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default" w:ascii="宋体"/>
                <w:color w:val="auto"/>
                <w:sz w:val="24"/>
                <w:szCs w:val="24"/>
                <w:highlight w:val="none"/>
                <w:u w:val="none" w:color="auto"/>
                <w:shd w:val="clear" w:color="auto" w:fill="auto"/>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default" w:ascii="宋体"/>
                <w:color w:val="auto"/>
                <w:sz w:val="24"/>
                <w:szCs w:val="24"/>
                <w:highlight w:val="none"/>
                <w:u w:val="none" w:color="auto"/>
                <w:shd w:val="clear" w:color="auto" w:fill="auto"/>
              </w:rPr>
            </w:pP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结果</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维持</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结果</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纠正</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其他</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结果</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尚未</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审结</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总计</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结果</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维持</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结果</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纠正</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其他</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结果</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尚未</w:t>
            </w:r>
            <w:r>
              <w:rPr>
                <w:rFonts w:hint="eastAsia" w:ascii="宋体" w:hAnsi="宋体" w:eastAsia="宋体" w:cs="宋体"/>
                <w:color w:val="auto"/>
                <w:kern w:val="0"/>
                <w:sz w:val="20"/>
                <w:szCs w:val="20"/>
                <w:highlight w:val="none"/>
                <w:u w:val="none" w:color="auto"/>
                <w:shd w:val="clear" w:color="auto" w:fill="auto"/>
              </w:rPr>
              <w:br w:type="textWrapping"/>
            </w:r>
            <w:r>
              <w:rPr>
                <w:rFonts w:hint="eastAsia" w:ascii="宋体" w:hAnsi="宋体" w:eastAsia="宋体" w:cs="宋体"/>
                <w:color w:val="auto"/>
                <w:kern w:val="0"/>
                <w:sz w:val="20"/>
                <w:szCs w:val="20"/>
                <w:highlight w:val="none"/>
                <w:u w:val="none" w:color="auto"/>
                <w:shd w:val="clear" w:color="auto" w:fill="auto"/>
              </w:rPr>
              <w:t>审结</w:t>
            </w:r>
          </w:p>
        </w:tc>
        <w:tc>
          <w:tcPr>
            <w:tcW w:w="65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宋体" w:hAnsi="宋体" w:eastAsia="宋体" w:cs="宋体"/>
                <w:color w:val="auto"/>
                <w:kern w:val="0"/>
                <w:sz w:val="20"/>
                <w:szCs w:val="20"/>
                <w:highlight w:val="none"/>
                <w:u w:val="none" w:color="auto"/>
                <w:shd w:val="clear" w:color="auto" w:fill="auto"/>
              </w:rPr>
              <w:t>总计</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2" w:hRule="atLeast"/>
          <w:jc w:val="center"/>
        </w:trPr>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jc w:val="center"/>
              <w:rPr>
                <w:color w:val="auto"/>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jc w:val="center"/>
              <w:rPr>
                <w:rFonts w:hint="default" w:ascii="宋体"/>
                <w:color w:val="auto"/>
                <w:sz w:val="24"/>
                <w:szCs w:val="24"/>
                <w:highlight w:val="none"/>
                <w:u w:val="none" w:color="auto"/>
                <w:shd w:val="clear" w:color="auto" w:fill="auto"/>
              </w:rPr>
            </w:pPr>
            <w:r>
              <w:rPr>
                <w:rFonts w:hint="eastAsia" w:ascii="黑体" w:hAnsi="宋体" w:eastAsia="黑体" w:cs="黑体"/>
                <w:color w:val="auto"/>
                <w:kern w:val="0"/>
                <w:sz w:val="20"/>
                <w:szCs w:val="20"/>
                <w:highlight w:val="none"/>
                <w:u w:val="none" w:color="auto"/>
                <w:shd w:val="clear" w:color="auto" w:fill="auto"/>
                <w:lang w:val="en-US" w:eastAsia="zh-CN"/>
              </w:rPr>
              <w:t>0</w:t>
            </w:r>
          </w:p>
        </w:tc>
      </w:tr>
    </w:tbl>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420"/>
        <w:jc w:val="both"/>
        <w:textAlignment w:val="auto"/>
        <w:rPr>
          <w:rFonts w:hint="default" w:ascii="黑体" w:hAnsi="黑体" w:eastAsia="黑体" w:cs="黑体"/>
          <w:b w:val="0"/>
          <w:bCs/>
          <w:color w:val="auto"/>
          <w:sz w:val="32"/>
          <w:szCs w:val="32"/>
          <w:highlight w:val="none"/>
          <w:u w:val="none" w:color="auto"/>
          <w:shd w:val="clear" w:color="auto" w:fill="auto"/>
        </w:rPr>
      </w:pPr>
      <w:r>
        <w:rPr>
          <w:rFonts w:hint="eastAsia" w:ascii="黑体" w:hAnsi="黑体" w:eastAsia="黑体" w:cs="黑体"/>
          <w:b w:val="0"/>
          <w:bCs/>
          <w:color w:val="auto"/>
          <w:sz w:val="32"/>
          <w:szCs w:val="32"/>
          <w:highlight w:val="none"/>
          <w:u w:val="none" w:color="auto"/>
          <w:shd w:val="clear" w:color="auto" w:fill="auto"/>
        </w:rPr>
        <w:t>五、存在的主要问题及改进情况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Calibri" w:hAnsi="Calibri" w:cs="Calibri"/>
          <w:i w:val="0"/>
          <w:iCs w:val="0"/>
          <w:caps w:val="0"/>
          <w:color w:val="000000"/>
          <w:spacing w:val="0"/>
          <w:sz w:val="21"/>
          <w:szCs w:val="21"/>
        </w:rPr>
      </w:pPr>
      <w:r>
        <w:rPr>
          <w:rFonts w:hint="eastAsia" w:ascii="楷体_GB2312" w:hAnsi="楷体_GB2312" w:eastAsia="楷体_GB2312" w:cs="楷体_GB2312"/>
          <w:b/>
          <w:bCs/>
          <w:i w:val="0"/>
          <w:iCs w:val="0"/>
          <w:caps w:val="0"/>
          <w:color w:val="000000"/>
          <w:spacing w:val="0"/>
          <w:sz w:val="32"/>
          <w:szCs w:val="32"/>
          <w:shd w:val="clear" w:fill="FFFFFF"/>
        </w:rPr>
        <w:t>（一）上年度存在问题整改情况。</w:t>
      </w:r>
      <w:r>
        <w:rPr>
          <w:rFonts w:hint="eastAsia" w:ascii="仿宋_GB2312" w:hAnsi="Calibri" w:eastAsia="仿宋_GB2312" w:cs="仿宋_GB2312"/>
          <w:i w:val="0"/>
          <w:iCs w:val="0"/>
          <w:caps w:val="0"/>
          <w:color w:val="000000"/>
          <w:spacing w:val="0"/>
          <w:sz w:val="32"/>
          <w:szCs w:val="32"/>
          <w:shd w:val="clear" w:fill="FFFFFF"/>
          <w:lang w:val="en-US" w:eastAsia="zh-CN"/>
        </w:rPr>
        <w:t>县</w:t>
      </w:r>
      <w:r>
        <w:rPr>
          <w:rFonts w:ascii="仿宋_GB2312" w:hAnsi="Calibri" w:eastAsia="仿宋_GB2312" w:cs="仿宋_GB2312"/>
          <w:i w:val="0"/>
          <w:iCs w:val="0"/>
          <w:caps w:val="0"/>
          <w:color w:val="000000"/>
          <w:spacing w:val="0"/>
          <w:sz w:val="32"/>
          <w:szCs w:val="32"/>
          <w:shd w:val="clear" w:fill="FFFFFF"/>
        </w:rPr>
        <w:t>重点工程处针对上年度政务公开工作开展的实际情况，紧抓工作调度、细化工作举措、强力推动整改到位，针对</w:t>
      </w:r>
      <w:r>
        <w:rPr>
          <w:rFonts w:hint="eastAsia" w:ascii="仿宋_GB2312" w:hAnsi="Calibri" w:eastAsia="仿宋_GB2312" w:cs="仿宋_GB2312"/>
          <w:i w:val="0"/>
          <w:iCs w:val="0"/>
          <w:caps w:val="0"/>
          <w:color w:val="000000"/>
          <w:spacing w:val="0"/>
          <w:sz w:val="32"/>
          <w:szCs w:val="32"/>
          <w:shd w:val="clear" w:fill="FFFFFF"/>
        </w:rPr>
        <w:t>“政策解读</w:t>
      </w:r>
      <w:r>
        <w:rPr>
          <w:rFonts w:hint="eastAsia" w:ascii="仿宋_GB2312" w:hAnsi="Calibri" w:eastAsia="仿宋_GB2312" w:cs="仿宋_GB2312"/>
          <w:i w:val="0"/>
          <w:iCs w:val="0"/>
          <w:caps w:val="0"/>
          <w:color w:val="000000"/>
          <w:spacing w:val="0"/>
          <w:sz w:val="32"/>
          <w:szCs w:val="32"/>
          <w:shd w:val="clear" w:fill="FFFFFF"/>
          <w:lang w:val="en-US" w:eastAsia="zh-CN"/>
        </w:rPr>
        <w:t>深度不够</w:t>
      </w:r>
      <w:r>
        <w:rPr>
          <w:rFonts w:hint="eastAsia" w:ascii="仿宋_GB2312" w:hAnsi="Calibri" w:eastAsia="仿宋_GB2312" w:cs="仿宋_GB2312"/>
          <w:i w:val="0"/>
          <w:iCs w:val="0"/>
          <w:caps w:val="0"/>
          <w:color w:val="000000"/>
          <w:spacing w:val="0"/>
          <w:sz w:val="32"/>
          <w:szCs w:val="32"/>
          <w:shd w:val="clear" w:fill="FFFFFF"/>
        </w:rPr>
        <w:t>”问题</w:t>
      </w:r>
      <w:r>
        <w:rPr>
          <w:rFonts w:hint="eastAsia" w:ascii="仿宋_GB2312" w:hAnsi="Calibri" w:eastAsia="仿宋_GB2312" w:cs="仿宋_GB2312"/>
          <w:i w:val="0"/>
          <w:iCs w:val="0"/>
          <w:caps w:val="0"/>
          <w:color w:val="000000"/>
          <w:spacing w:val="0"/>
          <w:sz w:val="32"/>
          <w:szCs w:val="32"/>
          <w:shd w:val="clear" w:fill="FFFFFF"/>
          <w:lang w:eastAsia="zh-CN"/>
        </w:rPr>
        <w:t>，</w:t>
      </w:r>
      <w:r>
        <w:rPr>
          <w:rFonts w:hint="eastAsia" w:ascii="仿宋_GB2312" w:hAnsi="Calibri" w:eastAsia="仿宋_GB2312" w:cs="仿宋_GB2312"/>
          <w:i w:val="0"/>
          <w:iCs w:val="0"/>
          <w:caps w:val="0"/>
          <w:color w:val="000000"/>
          <w:spacing w:val="0"/>
          <w:sz w:val="32"/>
          <w:szCs w:val="32"/>
          <w:shd w:val="clear" w:fill="FFFFFF"/>
        </w:rPr>
        <w:t>发布《</w:t>
      </w:r>
      <w:r>
        <w:rPr>
          <w:rFonts w:hint="eastAsia" w:ascii="仿宋_GB2312" w:hAnsi="Calibri" w:eastAsia="仿宋_GB2312" w:cs="仿宋_GB2312"/>
          <w:i w:val="0"/>
          <w:iCs w:val="0"/>
          <w:caps w:val="0"/>
          <w:color w:val="000000"/>
          <w:spacing w:val="0"/>
          <w:sz w:val="32"/>
          <w:szCs w:val="32"/>
          <w:shd w:val="clear" w:fill="FFFFFF"/>
        </w:rPr>
        <w:fldChar w:fldCharType="begin"/>
      </w:r>
      <w:r>
        <w:rPr>
          <w:rFonts w:hint="eastAsia" w:ascii="仿宋_GB2312" w:hAnsi="Calibri" w:eastAsia="仿宋_GB2312" w:cs="仿宋_GB2312"/>
          <w:i w:val="0"/>
          <w:iCs w:val="0"/>
          <w:caps w:val="0"/>
          <w:color w:val="000000"/>
          <w:spacing w:val="0"/>
          <w:sz w:val="32"/>
          <w:szCs w:val="32"/>
          <w:shd w:val="clear" w:fill="FFFFFF"/>
        </w:rPr>
        <w:instrText xml:space="preserve"> HYPERLINK "https://www.ahjinzhai.gov.cn/public/6596671/36942138.html" \t "https://www.ahjinzhai.gov.cn/public/column/_blank" </w:instrText>
      </w:r>
      <w:r>
        <w:rPr>
          <w:rFonts w:hint="eastAsia" w:ascii="仿宋_GB2312" w:hAnsi="Calibri" w:eastAsia="仿宋_GB2312" w:cs="仿宋_GB2312"/>
          <w:i w:val="0"/>
          <w:iCs w:val="0"/>
          <w:caps w:val="0"/>
          <w:color w:val="000000"/>
          <w:spacing w:val="0"/>
          <w:sz w:val="32"/>
          <w:szCs w:val="32"/>
          <w:shd w:val="clear" w:fill="FFFFFF"/>
        </w:rPr>
        <w:fldChar w:fldCharType="separate"/>
      </w:r>
      <w:r>
        <w:rPr>
          <w:rFonts w:hint="eastAsia" w:ascii="仿宋_GB2312" w:hAnsi="Calibri" w:eastAsia="仿宋_GB2312" w:cs="仿宋_GB2312"/>
          <w:i w:val="0"/>
          <w:iCs w:val="0"/>
          <w:caps w:val="0"/>
          <w:color w:val="000000"/>
          <w:spacing w:val="0"/>
          <w:sz w:val="32"/>
          <w:szCs w:val="32"/>
          <w:shd w:val="clear" w:fill="FFFFFF"/>
        </w:rPr>
        <w:t>关于进一步规范和优化招标文件编制工作的通知</w:t>
      </w:r>
      <w:r>
        <w:rPr>
          <w:rFonts w:hint="eastAsia" w:ascii="仿宋_GB2312" w:hAnsi="Calibri" w:eastAsia="仿宋_GB2312" w:cs="仿宋_GB2312"/>
          <w:i w:val="0"/>
          <w:iCs w:val="0"/>
          <w:caps w:val="0"/>
          <w:color w:val="000000"/>
          <w:spacing w:val="0"/>
          <w:sz w:val="32"/>
          <w:szCs w:val="32"/>
          <w:shd w:val="clear" w:fill="FFFFFF"/>
        </w:rPr>
        <w:fldChar w:fldCharType="end"/>
      </w:r>
      <w:r>
        <w:rPr>
          <w:rFonts w:hint="eastAsia" w:ascii="仿宋_GB2312" w:hAnsi="Calibri" w:eastAsia="仿宋_GB2312" w:cs="仿宋_GB2312"/>
          <w:i w:val="0"/>
          <w:iCs w:val="0"/>
          <w:caps w:val="0"/>
          <w:color w:val="000000"/>
          <w:spacing w:val="0"/>
          <w:sz w:val="32"/>
          <w:szCs w:val="32"/>
          <w:shd w:val="clear" w:fill="FFFFFF"/>
        </w:rPr>
        <w:t>》</w:t>
      </w:r>
      <w:r>
        <w:rPr>
          <w:rFonts w:hint="eastAsia" w:ascii="仿宋_GB2312" w:hAnsi="Calibri" w:eastAsia="仿宋_GB2312" w:cs="仿宋_GB2312"/>
          <w:i w:val="0"/>
          <w:iCs w:val="0"/>
          <w:caps w:val="0"/>
          <w:color w:val="000000"/>
          <w:spacing w:val="0"/>
          <w:sz w:val="32"/>
          <w:szCs w:val="32"/>
          <w:shd w:val="clear" w:fill="FFFFFF"/>
          <w:lang w:val="en-US" w:eastAsia="zh-CN"/>
        </w:rPr>
        <w:t>文件</w:t>
      </w:r>
      <w:r>
        <w:rPr>
          <w:rFonts w:hint="eastAsia" w:ascii="仿宋_GB2312" w:hAnsi="Calibri" w:eastAsia="仿宋_GB2312" w:cs="仿宋_GB2312"/>
          <w:i w:val="0"/>
          <w:iCs w:val="0"/>
          <w:caps w:val="0"/>
          <w:color w:val="000000"/>
          <w:spacing w:val="0"/>
          <w:sz w:val="32"/>
          <w:szCs w:val="32"/>
          <w:shd w:val="clear" w:fill="FFFFFF"/>
        </w:rPr>
        <w:t>的多渠道解读，持续提升政策解读工作水平；针对“</w:t>
      </w:r>
      <w:r>
        <w:rPr>
          <w:rFonts w:ascii="仿宋" w:hAnsi="仿宋" w:eastAsia="仿宋" w:cs="仿宋"/>
          <w:caps w:val="0"/>
          <w:color w:val="000000"/>
          <w:spacing w:val="0"/>
          <w:sz w:val="32"/>
          <w:szCs w:val="32"/>
          <w:shd w:val="clear" w:fill="FFFFFF"/>
        </w:rPr>
        <w:t>重点领域公开内容有待完善</w:t>
      </w:r>
      <w:r>
        <w:rPr>
          <w:rFonts w:hint="eastAsia" w:ascii="仿宋_GB2312" w:hAnsi="Calibri" w:eastAsia="仿宋_GB2312" w:cs="仿宋_GB2312"/>
          <w:i w:val="0"/>
          <w:iCs w:val="0"/>
          <w:caps w:val="0"/>
          <w:color w:val="000000"/>
          <w:spacing w:val="0"/>
          <w:sz w:val="32"/>
          <w:szCs w:val="32"/>
          <w:shd w:val="clear" w:fill="FFFFFF"/>
        </w:rPr>
        <w:t>”问题，常态化做好重点工程项目建设各环节领域的重点信息公开相关工作，有效回应群众关心关切。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Calibri" w:hAnsi="Calibri" w:cs="Calibri"/>
          <w:i w:val="0"/>
          <w:iCs w:val="0"/>
          <w:caps w:val="0"/>
          <w:color w:val="000000"/>
          <w:spacing w:val="0"/>
          <w:sz w:val="21"/>
          <w:szCs w:val="21"/>
        </w:rPr>
      </w:pPr>
      <w:r>
        <w:rPr>
          <w:rFonts w:hint="eastAsia" w:ascii="楷体_GB2312" w:hAnsi="楷体_GB2312" w:eastAsia="楷体_GB2312" w:cs="楷体_GB2312"/>
          <w:b/>
          <w:bCs/>
          <w:i w:val="0"/>
          <w:iCs w:val="0"/>
          <w:caps w:val="0"/>
          <w:color w:val="000000"/>
          <w:spacing w:val="0"/>
          <w:sz w:val="32"/>
          <w:szCs w:val="32"/>
          <w:shd w:val="clear" w:fill="FFFFFF"/>
        </w:rPr>
        <w:t>（二）主要存在问题。</w:t>
      </w:r>
      <w:r>
        <w:rPr>
          <w:rFonts w:hint="eastAsia" w:ascii="仿宋_GB2312" w:hAnsi="Calibri" w:eastAsia="仿宋_GB2312" w:cs="仿宋_GB2312"/>
          <w:i w:val="0"/>
          <w:iCs w:val="0"/>
          <w:caps w:val="0"/>
          <w:color w:val="000000"/>
          <w:spacing w:val="0"/>
          <w:sz w:val="32"/>
          <w:szCs w:val="32"/>
          <w:shd w:val="clear" w:fill="FFFFFF"/>
        </w:rPr>
        <w:t>2023年</w:t>
      </w:r>
      <w:r>
        <w:rPr>
          <w:rFonts w:hint="eastAsia" w:ascii="仿宋_GB2312" w:hAnsi="Calibri" w:eastAsia="仿宋_GB2312" w:cs="仿宋_GB2312"/>
          <w:i w:val="0"/>
          <w:iCs w:val="0"/>
          <w:caps w:val="0"/>
          <w:color w:val="000000"/>
          <w:spacing w:val="0"/>
          <w:sz w:val="32"/>
          <w:szCs w:val="32"/>
          <w:shd w:val="clear" w:fill="FFFFFF"/>
          <w:lang w:val="en-US" w:eastAsia="zh-CN"/>
        </w:rPr>
        <w:t>县</w:t>
      </w:r>
      <w:r>
        <w:rPr>
          <w:rFonts w:hint="eastAsia" w:ascii="仿宋_GB2312" w:hAnsi="Calibri" w:eastAsia="仿宋_GB2312" w:cs="仿宋_GB2312"/>
          <w:i w:val="0"/>
          <w:iCs w:val="0"/>
          <w:caps w:val="0"/>
          <w:color w:val="000000"/>
          <w:spacing w:val="0"/>
          <w:sz w:val="32"/>
          <w:szCs w:val="32"/>
          <w:shd w:val="clear" w:fill="FFFFFF"/>
        </w:rPr>
        <w:t>重点工程处深化工作落实，紧抓工作推进，政务公开工作取得了一定成效，但对照高标准、严要求，还存在重大工程建设项目全生命周期公开信息收集效率有待提升；重点工程领域政策文件开展意见征集工作力度有待加强，需要在今后的工作中持续改进完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Calibri" w:hAnsi="Calibri" w:cs="Calibri"/>
          <w:i w:val="0"/>
          <w:iCs w:val="0"/>
          <w:caps w:val="0"/>
          <w:color w:val="000000"/>
          <w:spacing w:val="0"/>
          <w:sz w:val="21"/>
          <w:szCs w:val="21"/>
        </w:rPr>
      </w:pPr>
      <w:r>
        <w:rPr>
          <w:rFonts w:hint="eastAsia" w:ascii="楷体_GB2312" w:hAnsi="楷体_GB2312" w:eastAsia="楷体_GB2312" w:cs="楷体_GB2312"/>
          <w:b/>
          <w:bCs/>
          <w:i w:val="0"/>
          <w:iCs w:val="0"/>
          <w:caps w:val="0"/>
          <w:color w:val="000000"/>
          <w:spacing w:val="0"/>
          <w:sz w:val="32"/>
          <w:szCs w:val="32"/>
          <w:shd w:val="clear" w:fill="FFFFFF"/>
        </w:rPr>
        <w:t>（三）下一步改进举措。</w:t>
      </w:r>
      <w:r>
        <w:rPr>
          <w:rFonts w:hint="eastAsia" w:ascii="仿宋_GB2312" w:hAnsi="Calibri" w:eastAsia="仿宋_GB2312" w:cs="仿宋_GB2312"/>
          <w:i w:val="0"/>
          <w:iCs w:val="0"/>
          <w:caps w:val="0"/>
          <w:color w:val="000000"/>
          <w:spacing w:val="0"/>
          <w:sz w:val="32"/>
          <w:szCs w:val="32"/>
          <w:shd w:val="clear" w:fill="FFFFFF"/>
        </w:rPr>
        <w:t>下一步，我处将从以下几个方面全力做好政务公开各项工作：</w:t>
      </w:r>
      <w:r>
        <w:rPr>
          <w:rFonts w:hint="eastAsia" w:ascii="仿宋_GB2312" w:hAnsi="Calibri" w:eastAsia="仿宋_GB2312" w:cs="仿宋_GB2312"/>
          <w:b/>
          <w:bCs/>
          <w:i w:val="0"/>
          <w:iCs w:val="0"/>
          <w:caps w:val="0"/>
          <w:color w:val="000000"/>
          <w:spacing w:val="0"/>
          <w:sz w:val="32"/>
          <w:szCs w:val="32"/>
          <w:shd w:val="clear" w:fill="FFFFFF"/>
        </w:rPr>
        <w:t>一是</w:t>
      </w:r>
      <w:r>
        <w:rPr>
          <w:rFonts w:hint="eastAsia" w:ascii="仿宋_GB2312" w:hAnsi="Calibri" w:eastAsia="仿宋_GB2312" w:cs="仿宋_GB2312"/>
          <w:i w:val="0"/>
          <w:iCs w:val="0"/>
          <w:caps w:val="0"/>
          <w:color w:val="000000"/>
          <w:spacing w:val="0"/>
          <w:sz w:val="32"/>
          <w:szCs w:val="32"/>
          <w:shd w:val="clear" w:fill="FFFFFF"/>
        </w:rPr>
        <w:t>压实工作责任，细化重大建设项目全生命周期公开工作责任，将各相关业务科</w:t>
      </w:r>
      <w:r>
        <w:rPr>
          <w:rFonts w:hint="eastAsia" w:ascii="仿宋_GB2312" w:hAnsi="Calibri" w:eastAsia="仿宋_GB2312" w:cs="仿宋_GB2312"/>
          <w:i w:val="0"/>
          <w:iCs w:val="0"/>
          <w:caps w:val="0"/>
          <w:color w:val="000000"/>
          <w:spacing w:val="0"/>
          <w:sz w:val="32"/>
          <w:szCs w:val="32"/>
          <w:shd w:val="clear" w:fill="FFFFFF"/>
          <w:lang w:val="en-US" w:eastAsia="zh-CN"/>
        </w:rPr>
        <w:t>股</w:t>
      </w:r>
      <w:r>
        <w:rPr>
          <w:rFonts w:hint="eastAsia" w:ascii="仿宋_GB2312" w:hAnsi="Calibri" w:eastAsia="仿宋_GB2312" w:cs="仿宋_GB2312"/>
          <w:i w:val="0"/>
          <w:iCs w:val="0"/>
          <w:caps w:val="0"/>
          <w:color w:val="000000"/>
          <w:spacing w:val="0"/>
          <w:sz w:val="32"/>
          <w:szCs w:val="32"/>
          <w:shd w:val="clear" w:fill="FFFFFF"/>
        </w:rPr>
        <w:t>室公开信息主动提供相关情况作为全处政务公开工作监督的重要内容，持续做好项目推进情况跟踪，确保按要求提供相关公开信息；</w:t>
      </w:r>
      <w:r>
        <w:rPr>
          <w:rFonts w:hint="eastAsia" w:ascii="仿宋_GB2312" w:hAnsi="Calibri" w:eastAsia="仿宋_GB2312" w:cs="仿宋_GB2312"/>
          <w:b/>
          <w:bCs/>
          <w:i w:val="0"/>
          <w:iCs w:val="0"/>
          <w:caps w:val="0"/>
          <w:color w:val="000000"/>
          <w:spacing w:val="0"/>
          <w:sz w:val="32"/>
          <w:szCs w:val="32"/>
          <w:shd w:val="clear" w:fill="FFFFFF"/>
        </w:rPr>
        <w:t>二是</w:t>
      </w:r>
      <w:r>
        <w:rPr>
          <w:rFonts w:hint="eastAsia" w:ascii="仿宋_GB2312" w:hAnsi="Calibri" w:eastAsia="仿宋_GB2312" w:cs="仿宋_GB2312"/>
          <w:i w:val="0"/>
          <w:iCs w:val="0"/>
          <w:caps w:val="0"/>
          <w:color w:val="000000"/>
          <w:spacing w:val="0"/>
          <w:sz w:val="32"/>
          <w:szCs w:val="32"/>
          <w:shd w:val="clear" w:fill="FFFFFF"/>
        </w:rPr>
        <w:t>紧抓工作落实，重点工程项目、政策文件印发前及时做好意见征集和跟踪反馈相关情况，充分收集全社会意见建议，推动重点工程领域各项工作高质量开展。</w:t>
      </w:r>
    </w:p>
    <w:p>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color w:val="auto"/>
          <w:sz w:val="32"/>
          <w:szCs w:val="32"/>
          <w:highlight w:val="none"/>
          <w:u w:val="none" w:color="auto"/>
          <w:shd w:val="clear" w:color="auto" w:fill="auto"/>
        </w:rPr>
      </w:pPr>
      <w:r>
        <w:rPr>
          <w:rFonts w:hint="eastAsia" w:ascii="黑体" w:hAnsi="黑体" w:eastAsia="黑体" w:cs="黑体"/>
          <w:b w:val="0"/>
          <w:bCs/>
          <w:color w:val="auto"/>
          <w:sz w:val="32"/>
          <w:szCs w:val="32"/>
          <w:highlight w:val="none"/>
          <w:u w:val="none" w:color="auto"/>
          <w:shd w:val="clear" w:color="auto" w:fill="auto"/>
        </w:rPr>
        <w:t>六、其他需要报告的事项</w:t>
      </w:r>
    </w:p>
    <w:p>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color="auto"/>
          <w:shd w:val="clear" w:color="auto" w:fill="auto"/>
        </w:rPr>
      </w:pPr>
      <w:r>
        <w:rPr>
          <w:rFonts w:hint="eastAsia" w:ascii="仿宋_GB2312" w:hAnsi="仿宋_GB2312" w:eastAsia="仿宋_GB2312" w:cs="仿宋_GB2312"/>
          <w:color w:val="auto"/>
          <w:kern w:val="0"/>
          <w:sz w:val="32"/>
          <w:szCs w:val="32"/>
          <w:highlight w:val="none"/>
          <w:u w:val="none" w:color="auto"/>
          <w:shd w:val="clear" w:color="auto" w:fill="auto"/>
          <w:lang w:val="en-US" w:eastAsia="zh-CN" w:bidi="ar-SA"/>
        </w:rPr>
        <w:t>按照《国务院办公厅关于印发〈政府信息公开信息处理费管理办法〉的通知》（国办函〔2020〕109号）规定的按件、按量收费标准，本年度没有产生信息公开处理费”。</w:t>
      </w:r>
    </w:p>
    <w:p>
      <w:pPr>
        <w:jc w:val="center"/>
        <w:rPr>
          <w:rFonts w:hint="eastAsia"/>
          <w:lang w:val="en-US" w:eastAsia="zh-CN"/>
        </w:rPr>
      </w:pPr>
      <w:r>
        <w:rPr>
          <w:rFonts w:hint="eastAsia"/>
          <w:lang w:val="en-US" w:eastAsia="zh-CN"/>
        </w:rPr>
        <w:t xml:space="preserve">                        </w:t>
      </w:r>
    </w:p>
    <w:p>
      <w:pPr>
        <w:jc w:val="center"/>
        <w:rPr>
          <w:rFonts w:hint="default" w:eastAsia="仿宋_GB2312"/>
          <w:lang w:val="en-US" w:eastAsia="zh-CN"/>
        </w:rPr>
      </w:pPr>
      <w:r>
        <w:rPr>
          <w:rFonts w:hint="eastAsia"/>
          <w:lang w:val="en-US" w:eastAsia="zh-CN"/>
        </w:rPr>
        <w:t xml:space="preserve">                         2024年1月23日</w:t>
      </w:r>
    </w:p>
    <w:sectPr>
      <w:pgSz w:w="11906" w:h="16838"/>
      <w:pgMar w:top="1701" w:right="1587" w:bottom="1701"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jOGUzOGY0YzZiZmIwNTZkNzI5NDgwYjQ0OGRkYjkifQ=="/>
  </w:docVars>
  <w:rsids>
    <w:rsidRoot w:val="53D90E56"/>
    <w:rsid w:val="04EC17E6"/>
    <w:rsid w:val="0A5B244D"/>
    <w:rsid w:val="1EA52B86"/>
    <w:rsid w:val="1F6F734D"/>
    <w:rsid w:val="26EE5804"/>
    <w:rsid w:val="29BB7DAE"/>
    <w:rsid w:val="38EB7F94"/>
    <w:rsid w:val="3BCC53F6"/>
    <w:rsid w:val="3D4C1D88"/>
    <w:rsid w:val="53D90E56"/>
    <w:rsid w:val="67DF1B6C"/>
    <w:rsid w:val="75193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32"/>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widowControl/>
      <w:spacing w:before="100" w:beforeAutospacing="1" w:after="100" w:afterAutospacing="1"/>
      <w:ind w:left="0" w:right="0"/>
      <w:jc w:val="left"/>
    </w:pPr>
    <w:rPr>
      <w:rFonts w:hint="default" w:ascii="宋体" w:hAnsi="宋体" w:eastAsia="宋体" w:cs="宋体"/>
      <w:kern w:val="0"/>
      <w:sz w:val="24"/>
      <w:szCs w:val="24"/>
      <w:lang w:val="en-US" w:eastAsia="zh-CN" w:bidi="ar"/>
    </w:rPr>
  </w:style>
  <w:style w:type="character" w:styleId="6">
    <w:name w:val="Hyperlink"/>
    <w:basedOn w:val="5"/>
    <w:autoRedefine/>
    <w:qFormat/>
    <w:uiPriority w:val="0"/>
    <w:rPr>
      <w:color w:val="0000FF"/>
      <w:u w:val="single"/>
    </w:rPr>
  </w:style>
  <w:style w:type="paragraph" w:customStyle="1" w:styleId="7">
    <w:name w:val="BodyText1I2"/>
    <w:basedOn w:val="8"/>
    <w:qFormat/>
    <w:uiPriority w:val="0"/>
    <w:pPr>
      <w:keepNext w:val="0"/>
      <w:keepLines w:val="0"/>
      <w:widowControl w:val="0"/>
      <w:suppressLineNumbers w:val="0"/>
      <w:spacing w:before="0" w:beforeAutospacing="0" w:after="0" w:afterAutospacing="0" w:line="360" w:lineRule="auto"/>
      <w:ind w:left="0" w:right="0" w:firstLine="420" w:firstLineChars="200"/>
      <w:jc w:val="left"/>
    </w:pPr>
    <w:rPr>
      <w:rFonts w:hint="default" w:ascii="Times New Roman" w:hAnsi="Times New Roman" w:eastAsia="宋体" w:cs="Times New Roman"/>
      <w:kern w:val="0"/>
      <w:sz w:val="24"/>
      <w:szCs w:val="24"/>
      <w:lang w:val="en-US" w:eastAsia="zh-CN" w:bidi="ar"/>
    </w:rPr>
  </w:style>
  <w:style w:type="paragraph" w:customStyle="1" w:styleId="8">
    <w:name w:val="BodyTextIndent"/>
    <w:basedOn w:val="1"/>
    <w:autoRedefine/>
    <w:qFormat/>
    <w:uiPriority w:val="0"/>
    <w:pPr>
      <w:spacing w:line="360" w:lineRule="auto"/>
      <w:ind w:firstLine="480"/>
      <w:jc w:val="left"/>
    </w:pPr>
    <w:rPr>
      <w:rFonts w:ascii="Calibri" w:hAnsi="Calibri" w:eastAsia="宋体" w:cs="仿宋_GB2312"/>
      <w:kern w:val="0"/>
      <w:sz w:val="20"/>
      <w:szCs w:val="20"/>
    </w:rPr>
  </w:style>
  <w:style w:type="paragraph" w:customStyle="1" w:styleId="9">
    <w:name w:val="Normal (Web)"/>
    <w:basedOn w:val="1"/>
    <w:autoRedefine/>
    <w:qFormat/>
    <w:uiPriority w:val="0"/>
    <w:pPr>
      <w:spacing w:before="100" w:beforeAutospacing="1" w:after="100" w:afterAutospacing="1"/>
      <w:jc w:val="left"/>
    </w:pPr>
    <w:rPr>
      <w:rFonts w:hAnsi="Times New Roman"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2632</Words>
  <Characters>2707</Characters>
  <Lines>0</Lines>
  <Paragraphs>0</Paragraphs>
  <TotalTime>11</TotalTime>
  <ScaleCrop>false</ScaleCrop>
  <LinksUpToDate>false</LinksUpToDate>
  <CharactersWithSpaces>2939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2024-01-22T16:42:00Z</dcterms:created>
  <dc:creator>Vol Je.yo</dc:creator>
  <cp:lastModifiedBy>北辰</cp:lastModifiedBy>
  <cp:lastPrinted>2024-01-29T06:30:00Z</cp:lastPrinted>
  <dcterms:modified xsi:type="dcterms:W3CDTF">2024-06-13T07:31:46Z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DAFF5F2367944393B98684A7284F3C2B_11</vt:lpwstr>
  </property>
</Properties>
</file>