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jc w:val="center"/>
        <w:rPr>
          <w:rFonts w:hint="eastAsia" w:ascii="方正小标宋简体" w:hAnsi="方正小标宋简体" w:eastAsia="方正小标宋简体" w:cs="方正小标宋简体"/>
          <w:color w:val="333333"/>
          <w:sz w:val="44"/>
          <w:szCs w:val="44"/>
          <w:shd w:val="clear" w:fill="FFFFFF"/>
        </w:rPr>
      </w:pPr>
      <w:bookmarkStart w:id="0" w:name="_GoBack"/>
      <w:r>
        <w:rPr>
          <w:rFonts w:hint="eastAsia" w:ascii="方正小标宋简体" w:hAnsi="方正小标宋简体" w:eastAsia="方正小标宋简体" w:cs="方正小标宋简体"/>
          <w:color w:val="333333"/>
          <w:sz w:val="44"/>
          <w:szCs w:val="44"/>
          <w:shd w:val="clear" w:fill="FFFFFF"/>
        </w:rPr>
        <w:t> 金寨县花石乡2020年政府信息公开工作</w:t>
      </w:r>
    </w:p>
    <w:p>
      <w:pPr>
        <w:pStyle w:val="2"/>
        <w:keepNext w:val="0"/>
        <w:keepLines w:val="0"/>
        <w:widowControl/>
        <w:suppressLineNumbers w:val="0"/>
        <w:shd w:val="clear" w:fill="FFFFFF"/>
        <w:spacing w:before="0" w:beforeAutospacing="0" w:after="0" w:afterAutospacing="0"/>
        <w:ind w:left="0" w:right="0"/>
        <w:jc w:val="center"/>
        <w:rPr>
          <w:rFonts w:hint="eastAsia" w:ascii="方正小标宋简体" w:hAnsi="方正小标宋简体" w:eastAsia="方正小标宋简体" w:cs="方正小标宋简体"/>
          <w:color w:val="333333"/>
          <w:sz w:val="44"/>
          <w:szCs w:val="44"/>
          <w:shd w:val="clear" w:fill="FFFFFF"/>
          <w:lang w:eastAsia="zh-CN"/>
        </w:rPr>
      </w:pPr>
      <w:r>
        <w:rPr>
          <w:rFonts w:hint="eastAsia" w:ascii="方正小标宋简体" w:hAnsi="方正小标宋简体" w:eastAsia="方正小标宋简体" w:cs="方正小标宋简体"/>
          <w:color w:val="333333"/>
          <w:sz w:val="44"/>
          <w:szCs w:val="44"/>
          <w:shd w:val="clear" w:fill="FFFFFF"/>
        </w:rPr>
        <w:t>年度报告</w:t>
      </w:r>
    </w:p>
    <w:bookmarkEnd w:id="0"/>
    <w:p>
      <w:pPr>
        <w:pStyle w:val="2"/>
        <w:keepNext w:val="0"/>
        <w:keepLines w:val="0"/>
        <w:widowControl/>
        <w:suppressLineNumbers w:val="0"/>
        <w:shd w:val="clear" w:fill="FFFFFF"/>
        <w:spacing w:before="0" w:beforeAutospacing="0" w:after="0" w:afterAutospacing="0"/>
        <w:ind w:left="0" w:right="0" w:firstLine="640" w:firstLineChars="200"/>
        <w:jc w:val="left"/>
        <w:rPr>
          <w:rFonts w:ascii="仿宋_GB2312" w:eastAsia="仿宋_GB2312" w:cs="仿宋_GB2312"/>
          <w:sz w:val="32"/>
          <w:szCs w:val="32"/>
        </w:rPr>
      </w:pPr>
      <w:r>
        <w:rPr>
          <w:rFonts w:hint="eastAsia" w:ascii="仿宋_GB2312" w:eastAsia="仿宋_GB2312" w:cs="仿宋_GB2312"/>
          <w:color w:val="333333"/>
          <w:sz w:val="32"/>
          <w:szCs w:val="32"/>
          <w:shd w:val="clear" w:fill="FFFFFF"/>
        </w:rPr>
        <w:t>本报告依据《中华人民共和国政府信息公开条例》（国务院令第711号，以下简称新《条例》）、《六安市人民政府办公室关于做好政府信息公开年度报告编制工作的通知》（六政办秘〔2020〕161号）和《金寨县政务公开办公室关于做好2020年度政府信息公开年度报告编制工作的通知》（金政公开〔2021〕2号）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2020年1月1日至12月31日，报告的电子版可在金寨县信息公开网（http://www.ahjinzhai.gov.cn/public/column/6597241?type=4&amp;action=list）下载。如对本报告有任何疑问，请与花石乡人民政府办公室联系（地址：花石乡人民政府二楼205，电话：0564--7478001，邮编：237354）。</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_GB2312" w:eastAsia="仿宋_GB2312" w:cs="仿宋_GB2312"/>
          <w:sz w:val="32"/>
          <w:szCs w:val="32"/>
        </w:rPr>
      </w:pPr>
      <w:r>
        <w:rPr>
          <w:rFonts w:hint="eastAsia" w:ascii="仿宋_GB2312" w:eastAsia="仿宋_GB2312" w:cs="仿宋_GB2312"/>
          <w:b/>
          <w:bCs/>
          <w:color w:val="333333"/>
          <w:sz w:val="32"/>
          <w:szCs w:val="32"/>
          <w:shd w:val="clear" w:fill="FFFFFF"/>
        </w:rPr>
        <w:t>一、总体情况</w:t>
      </w:r>
    </w:p>
    <w:p>
      <w:pPr>
        <w:pStyle w:val="2"/>
        <w:keepNext w:val="0"/>
        <w:keepLines w:val="0"/>
        <w:widowControl/>
        <w:suppressLineNumbers w:val="0"/>
        <w:shd w:val="clear" w:fill="FFFFFF"/>
        <w:spacing w:before="0" w:beforeAutospacing="0" w:after="0" w:afterAutospacing="0" w:line="560" w:lineRule="atLeast"/>
        <w:ind w:left="0" w:right="0" w:firstLine="640"/>
        <w:jc w:val="left"/>
        <w:rPr>
          <w:rFonts w:hint="eastAsia" w:ascii="仿宋_GB2312" w:eastAsia="仿宋_GB2312" w:cs="仿宋_GB2312"/>
          <w:sz w:val="32"/>
          <w:szCs w:val="32"/>
        </w:rPr>
      </w:pPr>
      <w:r>
        <w:rPr>
          <w:rFonts w:hint="eastAsia" w:ascii="仿宋_GB2312" w:eastAsia="仿宋_GB2312" w:cs="仿宋_GB2312"/>
          <w:color w:val="333333"/>
          <w:sz w:val="32"/>
          <w:szCs w:val="32"/>
          <w:shd w:val="clear" w:fill="FFFFFF"/>
        </w:rPr>
        <w:t>2020年以来，在县委、县政府的正确领导下，花石乡党委政府高度重视，把贯彻落实《中华人民共和国政府信息公开条例》作为一项重要工作内容来抓，坚持以《政府信息公开条例》为工作准则，严格按照八项制度做好主动公开、依申请公开政府信息的范围和程序，并做好材料送交，公开信息保密审查，信息更新发布等工作。现将一年来工作完成情况简要总结如下：</w:t>
      </w:r>
    </w:p>
    <w:p>
      <w:pPr>
        <w:pStyle w:val="2"/>
        <w:keepNext w:val="0"/>
        <w:keepLines w:val="0"/>
        <w:widowControl/>
        <w:suppressLineNumbers w:val="0"/>
        <w:shd w:val="clear" w:fill="FFFFFF"/>
        <w:spacing w:before="0" w:beforeAutospacing="0" w:after="0" w:afterAutospacing="0" w:line="560" w:lineRule="atLeast"/>
        <w:ind w:left="0" w:right="0" w:firstLine="640"/>
        <w:jc w:val="left"/>
        <w:rPr>
          <w:rFonts w:hint="eastAsia" w:ascii="仿宋_GB2312" w:eastAsia="仿宋_GB2312" w:cs="仿宋_GB2312"/>
          <w:sz w:val="32"/>
          <w:szCs w:val="32"/>
        </w:rPr>
      </w:pPr>
      <w:r>
        <w:rPr>
          <w:rFonts w:hint="eastAsia" w:ascii="仿宋_GB2312" w:eastAsia="仿宋_GB2312" w:cs="仿宋_GB2312"/>
          <w:b/>
          <w:bCs/>
          <w:color w:val="333333"/>
          <w:sz w:val="32"/>
          <w:szCs w:val="32"/>
          <w:shd w:val="clear" w:fill="FFFFFF"/>
        </w:rPr>
        <w:t>（一）主动公开情况</w:t>
      </w:r>
    </w:p>
    <w:p>
      <w:pPr>
        <w:pStyle w:val="2"/>
        <w:keepNext w:val="0"/>
        <w:keepLines w:val="0"/>
        <w:widowControl/>
        <w:suppressLineNumbers w:val="0"/>
        <w:shd w:val="clear" w:fill="FFFFFF"/>
        <w:spacing w:before="0" w:beforeAutospacing="0" w:after="0" w:afterAutospacing="0" w:line="560" w:lineRule="atLeast"/>
        <w:ind w:left="0" w:right="0" w:firstLine="640"/>
        <w:jc w:val="left"/>
        <w:rPr>
          <w:rFonts w:hint="eastAsia" w:ascii="仿宋_GB2312" w:eastAsia="仿宋_GB2312" w:cs="仿宋_GB2312"/>
          <w:sz w:val="32"/>
          <w:szCs w:val="32"/>
        </w:rPr>
      </w:pPr>
      <w:r>
        <w:rPr>
          <w:rFonts w:hint="eastAsia" w:ascii="仿宋_GB2312" w:eastAsia="仿宋_GB2312" w:cs="仿宋_GB2312"/>
          <w:color w:val="333333"/>
          <w:sz w:val="32"/>
          <w:szCs w:val="32"/>
          <w:shd w:val="clear" w:fill="FFFFFF"/>
        </w:rPr>
        <w:t>截至2020年12月31日, 本年度在花石乡政府信息公开网上，全年主动公开政府信息1016条，政策解读7条，回应关切16条，监督保障28条。内容涵盖与公众密切相关的重大事项民生工作、脱贫攻坚、三公经费使用、人事信息、财政预算决算报告、政府会议、政府重点工作、重大建设项目招投标情况、应急管理等各类信息。及时公开了乡政府工作动态、乡政府机关的管理职能及其调整、变动情况方面的信息,不断加大政务公开宣传力度和政务公开范围,提高政务工作的透明度。</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 w:hAnsi="仿宋" w:eastAsia="仿宋" w:cs="仿宋"/>
          <w:sz w:val="24"/>
          <w:szCs w:val="24"/>
        </w:rPr>
      </w:pPr>
      <w:r>
        <w:rPr>
          <w:rFonts w:hint="eastAsia" w:ascii="仿宋" w:hAnsi="仿宋" w:eastAsia="仿宋" w:cs="仿宋"/>
          <w:color w:val="333333"/>
          <w:sz w:val="32"/>
          <w:szCs w:val="32"/>
          <w:shd w:val="clear" w:fill="FFFFFF"/>
        </w:rPr>
        <w:t>1、</w:t>
      </w:r>
      <w:r>
        <w:rPr>
          <w:rFonts w:hint="eastAsia" w:ascii="仿宋" w:hAnsi="仿宋" w:eastAsia="仿宋" w:cs="仿宋"/>
          <w:b/>
          <w:bCs/>
          <w:color w:val="333333"/>
          <w:sz w:val="32"/>
          <w:szCs w:val="32"/>
          <w:shd w:val="clear" w:fill="FFFFFF"/>
        </w:rPr>
        <w:t>深化民生领域信息公开。</w:t>
      </w:r>
      <w:r>
        <w:rPr>
          <w:rFonts w:hint="eastAsia" w:ascii="仿宋" w:hAnsi="仿宋" w:eastAsia="仿宋" w:cs="仿宋"/>
          <w:color w:val="333333"/>
          <w:sz w:val="32"/>
          <w:szCs w:val="32"/>
          <w:shd w:val="clear" w:fill="FFFFFF"/>
        </w:rPr>
        <w:t>每月集中公开低保、特困供养、分散供养人员补贴补助情况，落实特困人员自理能力评估工作；进一步加大殡葬工作的宣传和管理工作，完成公墓选址工作，开展违法违规和建“住宅式”墓地摸排和建设殡葬设施问题整治；认真开展残疾人基本服务状况和需求信息数据动态更新采集。</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 w:hAnsi="仿宋" w:eastAsia="仿宋" w:cs="仿宋"/>
          <w:sz w:val="24"/>
          <w:szCs w:val="24"/>
        </w:rPr>
      </w:pPr>
      <w:r>
        <w:rPr>
          <w:rFonts w:hint="eastAsia" w:ascii="仿宋" w:hAnsi="仿宋" w:eastAsia="仿宋" w:cs="仿宋"/>
          <w:color w:val="333333"/>
          <w:sz w:val="32"/>
          <w:szCs w:val="32"/>
          <w:shd w:val="clear" w:fill="FFFFFF"/>
        </w:rPr>
        <w:t>2、</w:t>
      </w:r>
      <w:r>
        <w:rPr>
          <w:rFonts w:hint="eastAsia" w:ascii="仿宋" w:hAnsi="仿宋" w:eastAsia="仿宋" w:cs="仿宋"/>
          <w:b/>
          <w:bCs/>
          <w:color w:val="333333"/>
          <w:sz w:val="32"/>
          <w:szCs w:val="32"/>
          <w:shd w:val="clear" w:fill="FFFFFF"/>
        </w:rPr>
        <w:t>细化脱贫攻坚责任落实。</w:t>
      </w:r>
      <w:r>
        <w:rPr>
          <w:rFonts w:hint="eastAsia" w:ascii="仿宋" w:hAnsi="仿宋" w:eastAsia="仿宋" w:cs="仿宋"/>
          <w:color w:val="333333"/>
          <w:sz w:val="32"/>
          <w:szCs w:val="32"/>
          <w:shd w:val="clear" w:fill="FFFFFF"/>
        </w:rPr>
        <w:t>通过花石乡政务公开信息网向群众详细展示产业扶贫、就业扶贫、教育扶贫、健康扶贫、危房改造、易地扶贫搬迁等政策，</w:t>
      </w:r>
      <w:r>
        <w:rPr>
          <w:rFonts w:hint="eastAsia" w:ascii="仿宋" w:hAnsi="仿宋" w:eastAsia="仿宋" w:cs="仿宋"/>
          <w:color w:val="000000"/>
          <w:sz w:val="32"/>
          <w:szCs w:val="32"/>
          <w:shd w:val="clear" w:fill="FFFFFF"/>
        </w:rPr>
        <w:t>发放政策明白卡、宣传挂历等，并通报乡党委政府、村两委落实国家扶贫政策情况，让群众做个政策上的明白人。2020年花石乡共发放特色种养业奖补资金154.55万元；下达扶贫资金6批共24个项目，资金共计1517.33万元；贫困家庭子女享受“雨露计划”扶贫资助105人次，共计15.7万元。</w:t>
      </w:r>
    </w:p>
    <w:p>
      <w:pPr>
        <w:pStyle w:val="2"/>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sz w:val="32"/>
          <w:szCs w:val="32"/>
        </w:rPr>
      </w:pPr>
      <w:r>
        <w:rPr>
          <w:rFonts w:hint="eastAsia" w:ascii="仿宋_GB2312" w:eastAsia="仿宋_GB2312" w:cs="仿宋_GB2312"/>
          <w:b/>
          <w:bCs/>
          <w:sz w:val="32"/>
          <w:szCs w:val="32"/>
        </w:rPr>
        <w:t>3、行使人大代表监督职权</w:t>
      </w:r>
      <w:r>
        <w:rPr>
          <w:rFonts w:hint="eastAsia" w:ascii="仿宋_GB2312" w:eastAsia="仿宋_GB2312" w:cs="仿宋_GB2312"/>
          <w:color w:val="333333"/>
          <w:sz w:val="32"/>
          <w:szCs w:val="32"/>
          <w:shd w:val="clear" w:fill="FFFFFF"/>
        </w:rPr>
        <w:t>。乡人大主席团围绕大局和群众关心的问题开展调研和视察，先后组织市县乡三级人大代表开展活动2次，四个代表小组自身开展活动3次，分别就脱贫攻坚、安全饮水、蝠牌茶业基地、漂流旅游发展等重点项目进行实地考察，了解项目实施和进展情况，并提出了相关意见和建议，有效推进了乡村工作开展。</w:t>
      </w:r>
    </w:p>
    <w:p>
      <w:pPr>
        <w:pStyle w:val="2"/>
        <w:keepNext w:val="0"/>
        <w:keepLines w:val="0"/>
        <w:widowControl/>
        <w:suppressLineNumbers w:val="0"/>
        <w:spacing w:before="0" w:beforeAutospacing="0" w:after="0" w:afterAutospacing="0"/>
        <w:ind w:left="0" w:right="0" w:firstLine="640"/>
        <w:jc w:val="both"/>
        <w:rPr>
          <w:rFonts w:hint="eastAsia" w:ascii="仿宋_GB2312" w:eastAsia="仿宋_GB2312" w:cs="仿宋_GB2312"/>
          <w:sz w:val="32"/>
          <w:szCs w:val="32"/>
        </w:rPr>
      </w:pPr>
      <w:r>
        <w:rPr>
          <w:rFonts w:hint="eastAsia" w:ascii="仿宋_GB2312" w:eastAsia="仿宋_GB2312" w:cs="仿宋_GB2312"/>
          <w:b/>
          <w:bCs/>
          <w:color w:val="333333"/>
          <w:sz w:val="32"/>
          <w:szCs w:val="32"/>
          <w:shd w:val="clear" w:fill="FFFFFF"/>
        </w:rPr>
        <w:t>4、加强本级财政工作管理。</w:t>
      </w:r>
      <w:r>
        <w:rPr>
          <w:rFonts w:hint="eastAsia" w:ascii="仿宋_GB2312" w:eastAsia="仿宋_GB2312" w:cs="仿宋_GB2312"/>
          <w:color w:val="333333"/>
          <w:sz w:val="32"/>
          <w:szCs w:val="32"/>
          <w:shd w:val="clear" w:fill="FFFFFF"/>
        </w:rPr>
        <w:t>2020年，财政工作紧紧围绕全乡经济社会发展的大局，牢牢把握“稳增长、控支出、强管理、保平衡”的工作主基调，以全面打赢脱贫攻坚战为统领，以“保工资，保运转、保民生”为重点，切实履行财政职能，积极培植财源，优化支出结构，强化资金监管，提高理财水平，在财政资金监管运行过程中，突出项目类、惠民补贴资金和村级“三资”的监管，紧扣信息通达、公开公示和抽查巡查三个环节开展工作。</w:t>
      </w:r>
    </w:p>
    <w:p>
      <w:pPr>
        <w:pStyle w:val="2"/>
        <w:keepNext w:val="0"/>
        <w:keepLines w:val="0"/>
        <w:widowControl/>
        <w:suppressLineNumbers w:val="0"/>
        <w:shd w:val="clear" w:fill="FFFFFF"/>
        <w:spacing w:before="0" w:beforeAutospacing="0" w:after="240" w:afterAutospacing="0" w:line="578" w:lineRule="atLeast"/>
        <w:ind w:left="0" w:right="0"/>
        <w:jc w:val="both"/>
        <w:rPr>
          <w:rFonts w:hint="eastAsia" w:ascii="仿宋" w:hAnsi="仿宋" w:eastAsia="仿宋" w:cs="仿宋"/>
          <w:sz w:val="24"/>
          <w:szCs w:val="24"/>
        </w:rPr>
      </w:pPr>
      <w:r>
        <w:rPr>
          <w:rFonts w:hint="eastAsia" w:ascii="仿宋" w:hAnsi="仿宋" w:eastAsia="仿宋" w:cs="仿宋"/>
          <w:b/>
          <w:bCs/>
          <w:color w:val="333333"/>
          <w:sz w:val="32"/>
          <w:szCs w:val="32"/>
          <w:shd w:val="clear" w:fill="FFFFFF"/>
        </w:rPr>
        <w:t>    （二）依申请公开情况</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 w:hAnsi="仿宋" w:eastAsia="仿宋" w:cs="仿宋"/>
          <w:sz w:val="24"/>
          <w:szCs w:val="24"/>
        </w:rPr>
      </w:pPr>
      <w:r>
        <w:rPr>
          <w:rFonts w:hint="eastAsia" w:ascii="仿宋" w:hAnsi="仿宋" w:eastAsia="仿宋" w:cs="仿宋"/>
          <w:color w:val="333333"/>
          <w:sz w:val="32"/>
          <w:szCs w:val="32"/>
          <w:shd w:val="clear" w:fill="FFFFFF"/>
        </w:rPr>
        <w:t>严格按照《六安市人民政府办公室关于做好政府信息公开年度报告编制工作的通知》（六政办秘〔2020〕161号）要求，修订依申请公开制度和申请表、流程图等内容，要求各信息员按照新要求办理依申请公开。2020年度我乡未收到政府信息公开申请。</w:t>
      </w:r>
    </w:p>
    <w:p>
      <w:pPr>
        <w:pStyle w:val="2"/>
        <w:keepNext w:val="0"/>
        <w:keepLines w:val="0"/>
        <w:widowControl/>
        <w:suppressLineNumbers w:val="0"/>
        <w:shd w:val="clear" w:fill="FFFFFF"/>
        <w:spacing w:before="0" w:beforeAutospacing="0" w:after="0" w:afterAutospacing="0"/>
        <w:ind w:left="0" w:right="0" w:firstLine="480"/>
        <w:jc w:val="both"/>
        <w:rPr>
          <w:rFonts w:hint="eastAsia" w:ascii="仿宋" w:hAnsi="仿宋" w:eastAsia="仿宋" w:cs="仿宋"/>
          <w:sz w:val="24"/>
          <w:szCs w:val="24"/>
        </w:rPr>
      </w:pPr>
      <w:r>
        <w:rPr>
          <w:rFonts w:hint="eastAsia" w:ascii="仿宋" w:hAnsi="仿宋" w:eastAsia="仿宋" w:cs="仿宋"/>
          <w:b/>
          <w:bCs/>
          <w:color w:val="333333"/>
          <w:sz w:val="32"/>
          <w:szCs w:val="32"/>
          <w:shd w:val="clear" w:fill="FFFFFF"/>
        </w:rPr>
        <w:t>（三）政府公开信息管理</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 w:hAnsi="仿宋" w:eastAsia="仿宋" w:cs="仿宋"/>
          <w:sz w:val="24"/>
          <w:szCs w:val="24"/>
        </w:rPr>
      </w:pPr>
      <w:r>
        <w:rPr>
          <w:rFonts w:hint="eastAsia" w:ascii="仿宋" w:hAnsi="仿宋" w:eastAsia="仿宋" w:cs="仿宋"/>
          <w:color w:val="333333"/>
          <w:sz w:val="32"/>
          <w:szCs w:val="32"/>
          <w:shd w:val="clear" w:fill="FFFFFF"/>
        </w:rPr>
        <w:t>为促进政务公开平稳有序开展，在乡政务公开领导小组统一管理下，乡党政办为牵头部门，其他各部门、单位负责协助，提供政务公开相关业务资料，为方便工作，我们建立信息公开工作交流群，确保了政务公开的时效性、准确性、安全性。明确各部门、各单位工作职责。在上级监督的同时，完善自我管理，建立乡监督管理机制，每月一次工作检查，促进政府信息公开工作再上新台阶。同时严格按照“谁主管、谁负责、谁公开、谁审查、先审查、后公开”的原则，落实责任。严把政治关、政策关、保密关、文字关，避免了泄密或负面影响事件发生。</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 w:hAnsi="仿宋" w:eastAsia="仿宋" w:cs="仿宋"/>
          <w:sz w:val="24"/>
          <w:szCs w:val="24"/>
        </w:rPr>
      </w:pPr>
      <w:r>
        <w:rPr>
          <w:rFonts w:hint="eastAsia" w:ascii="仿宋" w:hAnsi="仿宋" w:eastAsia="仿宋" w:cs="仿宋"/>
          <w:b/>
          <w:bCs/>
          <w:color w:val="333333"/>
          <w:sz w:val="32"/>
          <w:szCs w:val="32"/>
          <w:shd w:val="clear" w:fill="FFFFFF"/>
        </w:rPr>
        <w:t>（四）平台建设情况</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 w:hAnsi="仿宋" w:eastAsia="仿宋" w:cs="仿宋"/>
          <w:sz w:val="24"/>
          <w:szCs w:val="24"/>
        </w:rPr>
      </w:pPr>
      <w:r>
        <w:rPr>
          <w:rFonts w:hint="eastAsia" w:ascii="仿宋" w:hAnsi="仿宋" w:eastAsia="仿宋" w:cs="仿宋"/>
          <w:color w:val="333333"/>
          <w:sz w:val="32"/>
          <w:szCs w:val="32"/>
          <w:shd w:val="clear" w:fill="FFFFFF"/>
        </w:rPr>
        <w:t>花石乡人民政府信息公开网是花石乡政务公开平台，由金寨县人民政府统一制作目录，我乡政务公开专职人员进行后台管理，完善了互联网+政务服务平台目录编制。利用电子显示屏，村务公开栏、村村响广播等及时更新发布信息，联合乡志愿者发放明白纸（一封信），并在为民服务大厅设置政务公开信息查询点，方便群众查看相关公开信息。</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 w:hAnsi="仿宋" w:eastAsia="仿宋" w:cs="仿宋"/>
          <w:sz w:val="24"/>
          <w:szCs w:val="24"/>
        </w:rPr>
      </w:pPr>
      <w:r>
        <w:rPr>
          <w:rFonts w:hint="eastAsia" w:ascii="仿宋" w:hAnsi="仿宋" w:eastAsia="仿宋" w:cs="仿宋"/>
          <w:b/>
          <w:bCs/>
          <w:color w:val="333333"/>
          <w:sz w:val="32"/>
          <w:szCs w:val="32"/>
          <w:shd w:val="clear" w:fill="FFFFFF"/>
        </w:rPr>
        <w:t>（五）政府信息公开监督保障情况</w:t>
      </w:r>
    </w:p>
    <w:p>
      <w:pPr>
        <w:pStyle w:val="2"/>
        <w:keepNext w:val="0"/>
        <w:keepLines w:val="0"/>
        <w:widowControl/>
        <w:suppressLineNumbers w:val="0"/>
        <w:shd w:val="clear" w:fill="FFFFFF"/>
        <w:spacing w:before="0" w:beforeAutospacing="0" w:after="0" w:afterAutospacing="0"/>
        <w:ind w:left="0" w:right="0" w:firstLine="640"/>
        <w:jc w:val="both"/>
        <w:rPr>
          <w:rFonts w:hint="eastAsia" w:ascii="仿宋" w:hAnsi="仿宋" w:eastAsia="仿宋" w:cs="仿宋"/>
          <w:sz w:val="24"/>
          <w:szCs w:val="24"/>
        </w:rPr>
      </w:pPr>
      <w:r>
        <w:rPr>
          <w:rFonts w:hint="eastAsia" w:ascii="仿宋" w:hAnsi="仿宋" w:eastAsia="仿宋" w:cs="仿宋"/>
          <w:color w:val="333333"/>
          <w:sz w:val="32"/>
          <w:szCs w:val="32"/>
          <w:shd w:val="clear" w:fill="FFFFFF"/>
        </w:rPr>
        <w:t>花石乡党委政府高度重视，把推进政府政务公开当作贯彻落实《条例》的重要举措，深入推行政务公开，转变政府职能，实现管理创新，建设人民满意的服务型政府的一项重要工作。加强组织领导。加强和完善领导机制。2020年，为更好开展我乡政务信息公开工作，成立花石乡政务公开工作领导小组，明确了责任分工，根据人员变动和工作需要及时调整了乡政务公开工作领导小组成员，成立了以乡长王文亚为组长，副乡长余蕾为副组长，党政办和其他职能部门负责人任成员，并指定一名专职人员负责花石乡政务公开更新工作。健全工作机制。花石乡为提高政府信息公开工作的规范化、法制化水平，2020年继续进一步完善政府信息公开工作制度，建立健全主动公开和依法申请公开制度、政务公开工作监督员制度和信息主动公开目录等工作。我乡通过建立健全政务公开责任、审议、评议、反馈、审查和监督等制度，做好信息公开保密审查工作，做到了无涉密事件的发生。落实公开要求。通过政务公开网站，向社会公开乡政府的机构设置、部门职能、领导成员及职责、部门负责人等信息和联系电话，按月按季度公开乡政府财政收支情况和重点工作目标完成情况，同时还在政府大院内设置政府信息公示专栏，定期或不定期张贴各级政府公告、通知等其他政务信息。对于公示栏内容，根据实际情况及时进行调整，确保信息的时效性和准确性。为提升我乡的政务信息公开工作，2020年我们加强组织领导和学习贯彻，每次第三方测评后，我乡都及时召开整改会议，把整改任务分解到具体的单位和人，并要求按时按量的完成。将政务公开工作纳入每月督查考评，对各村政务公开工作进行评比打分，年底我们认真做好政务公开年度自查自评、做好年度总结、认真撰写年度报告。</w:t>
      </w:r>
    </w:p>
    <w:p>
      <w:pPr>
        <w:pStyle w:val="2"/>
        <w:keepNext w:val="0"/>
        <w:keepLines w:val="0"/>
        <w:widowControl/>
        <w:suppressLineNumbers w:val="0"/>
        <w:shd w:val="clear" w:fill="FFFFFF"/>
        <w:spacing w:before="0" w:beforeAutospacing="0" w:after="240" w:afterAutospacing="0"/>
        <w:ind w:left="0" w:right="0"/>
        <w:jc w:val="both"/>
        <w:rPr>
          <w:rFonts w:hint="eastAsia" w:ascii="仿宋_GB2312" w:eastAsia="仿宋_GB2312" w:cs="仿宋_GB2312"/>
          <w:sz w:val="32"/>
          <w:szCs w:val="32"/>
        </w:rPr>
      </w:pPr>
      <w:r>
        <w:rPr>
          <w:rFonts w:hint="eastAsia" w:ascii="仿宋_GB2312" w:eastAsia="仿宋_GB2312" w:cs="仿宋_GB2312"/>
          <w:b/>
          <w:bCs/>
          <w:color w:val="333333"/>
          <w:sz w:val="32"/>
          <w:szCs w:val="32"/>
          <w:shd w:val="clear" w:fill="FFFFFF"/>
        </w:rPr>
        <w:t>    二、主动公开政府信息情况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仿宋_GB2312" w:eastAsia="仿宋_GB2312" w:cs="仿宋_GB2312"/>
                <w:sz w:val="32"/>
                <w:szCs w:val="32"/>
              </w:rPr>
            </w:pPr>
            <w:r>
              <w:rPr>
                <w:rFonts w:hint="eastAsia" w:ascii="仿宋_GB2312" w:eastAsia="仿宋_GB2312" w:cs="仿宋_GB2312"/>
                <w:color w:val="000000"/>
                <w:sz w:val="20"/>
                <w:szCs w:val="20"/>
              </w:rPr>
              <w:t>信息内容</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仿宋_GB2312" w:eastAsia="仿宋_GB2312" w:cs="仿宋_GB2312"/>
                <w:sz w:val="32"/>
                <w:szCs w:val="32"/>
              </w:rPr>
            </w:pPr>
            <w:r>
              <w:rPr>
                <w:rFonts w:hint="eastAsia" w:ascii="仿宋_GB2312" w:eastAsia="仿宋_GB2312" w:cs="仿宋_GB2312"/>
                <w:color w:val="000000"/>
                <w:sz w:val="20"/>
                <w:szCs w:val="20"/>
              </w:rPr>
              <w:t>本年新</w:t>
            </w:r>
            <w:r>
              <w:rPr>
                <w:rFonts w:hint="default" w:ascii="Times New Roman" w:hAnsi="Times New Roman" w:eastAsia="仿宋_GB2312" w:cs="Times New Roman"/>
                <w:color w:val="000000"/>
                <w:sz w:val="20"/>
                <w:szCs w:val="20"/>
              </w:rPr>
              <w:br w:type="textWrapping"/>
            </w:r>
            <w:r>
              <w:rPr>
                <w:rFonts w:hint="eastAsia" w:ascii="仿宋_GB2312" w:eastAsia="仿宋_GB2312" w:cs="仿宋_GB2312"/>
                <w:sz w:val="20"/>
                <w:szCs w:val="20"/>
              </w:rPr>
              <w:t>制作数量</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仿宋_GB2312" w:eastAsia="仿宋_GB2312" w:cs="仿宋_GB2312"/>
                <w:sz w:val="32"/>
                <w:szCs w:val="32"/>
              </w:rPr>
            </w:pPr>
            <w:r>
              <w:rPr>
                <w:rFonts w:hint="eastAsia" w:ascii="仿宋_GB2312" w:eastAsia="仿宋_GB2312" w:cs="仿宋_GB2312"/>
                <w:color w:val="000000"/>
                <w:sz w:val="20"/>
                <w:szCs w:val="20"/>
              </w:rPr>
              <w:t>本年新</w:t>
            </w:r>
            <w:r>
              <w:rPr>
                <w:rFonts w:hint="default" w:ascii="Times New Roman" w:hAnsi="Times New Roman" w:eastAsia="仿宋_GB2312" w:cs="Times New Roman"/>
                <w:color w:val="000000"/>
                <w:sz w:val="20"/>
                <w:szCs w:val="20"/>
              </w:rPr>
              <w:br w:type="textWrapping"/>
            </w:r>
            <w:r>
              <w:rPr>
                <w:rFonts w:hint="eastAsia" w:ascii="仿宋_GB2312" w:eastAsia="仿宋_GB2312" w:cs="仿宋_GB2312"/>
                <w:sz w:val="20"/>
                <w:szCs w:val="20"/>
              </w:rPr>
              <w:t>公开数量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仿宋_GB2312" w:eastAsia="仿宋_GB2312" w:cs="仿宋_GB2312"/>
                <w:sz w:val="32"/>
                <w:szCs w:val="32"/>
              </w:rPr>
            </w:pPr>
            <w:r>
              <w:rPr>
                <w:rFonts w:hint="eastAsia" w:ascii="仿宋_GB2312" w:eastAsia="仿宋_GB2312" w:cs="仿宋_GB2312"/>
                <w:color w:val="00000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仿宋_GB2312" w:eastAsia="仿宋_GB2312" w:cs="仿宋_GB2312"/>
                <w:sz w:val="32"/>
                <w:szCs w:val="32"/>
              </w:rPr>
            </w:pPr>
            <w:r>
              <w:rPr>
                <w:rFonts w:hint="eastAsia" w:ascii="仿宋_GB2312" w:eastAsia="仿宋_GB2312" w:cs="仿宋_GB2312"/>
                <w:color w:val="000000"/>
                <w:sz w:val="20"/>
                <w:szCs w:val="20"/>
              </w:rPr>
              <w:t>规章</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4"/>
                <w:szCs w:val="24"/>
              </w:rPr>
              <w:t>0</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4"/>
                <w:szCs w:val="24"/>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left"/>
              <w:rPr>
                <w:rFonts w:hint="eastAsia" w:ascii="仿宋_GB2312" w:eastAsia="仿宋_GB2312" w:cs="仿宋_GB2312"/>
                <w:sz w:val="32"/>
                <w:szCs w:val="32"/>
              </w:rPr>
            </w:pPr>
            <w:r>
              <w:rPr>
                <w:rFonts w:hint="eastAsia" w:ascii="仿宋_GB2312" w:eastAsia="仿宋_GB2312" w:cs="仿宋_GB2312"/>
                <w:color w:val="000000"/>
                <w:sz w:val="20"/>
                <w:szCs w:val="20"/>
              </w:rPr>
              <w:t>规范性文件</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4"/>
                <w:szCs w:val="24"/>
              </w:rPr>
              <w:t>0</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4"/>
                <w:szCs w:val="24"/>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信息内容</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上一年项目数量</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本年增</w:t>
            </w:r>
            <w:r>
              <w:rPr>
                <w:rFonts w:hint="default" w:ascii="Times New Roman" w:hAnsi="Times New Roman" w:eastAsia="仿宋_GB2312" w:cs="Times New Roman"/>
                <w:color w:val="000000"/>
                <w:sz w:val="20"/>
                <w:szCs w:val="20"/>
              </w:rPr>
              <w:t>/</w:t>
            </w:r>
            <w:r>
              <w:rPr>
                <w:rFonts w:hint="eastAsia" w:ascii="仿宋_GB2312" w:eastAsia="仿宋_GB2312" w:cs="仿宋_GB2312"/>
                <w:color w:val="000000"/>
                <w:sz w:val="20"/>
                <w:szCs w:val="20"/>
              </w:rPr>
              <w:t>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行政许可</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5</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其他对外管理服务事项</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149</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1583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信息内容</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上一年项目数量</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本年增</w:t>
            </w:r>
            <w:r>
              <w:rPr>
                <w:rFonts w:hint="default" w:ascii="Times New Roman" w:hAnsi="Times New Roman" w:eastAsia="仿宋_GB2312" w:cs="Times New Roman"/>
                <w:color w:val="000000"/>
                <w:sz w:val="20"/>
                <w:szCs w:val="20"/>
              </w:rPr>
              <w:t>/</w:t>
            </w:r>
            <w:r>
              <w:rPr>
                <w:rFonts w:hint="eastAsia" w:ascii="仿宋_GB2312" w:eastAsia="仿宋_GB2312" w:cs="仿宋_GB2312"/>
                <w:color w:val="000000"/>
                <w:sz w:val="20"/>
                <w:szCs w:val="20"/>
              </w:rPr>
              <w:t>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行政处罚</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default" w:ascii="Times New Roman" w:hAnsi="Times New Roman" w:cs="Times New Roman"/>
                <w:sz w:val="20"/>
                <w:szCs w:val="20"/>
              </w:rPr>
              <w:t>5</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行政强制</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6</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信息内容</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eastAsia" w:ascii="仿宋_GB2312" w:eastAsia="仿宋_GB2312" w:cs="仿宋_GB2312"/>
                <w:sz w:val="20"/>
                <w:szCs w:val="20"/>
              </w:rPr>
              <w:t>上一年项目数量</w:t>
            </w:r>
          </w:p>
        </w:tc>
        <w:tc>
          <w:tcPr>
            <w:tcW w:w="314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eastAsia" w:ascii="仿宋_GB2312" w:eastAsia="仿宋_GB2312" w:cs="仿宋_GB2312"/>
                <w:sz w:val="20"/>
                <w:szCs w:val="20"/>
              </w:rPr>
              <w:t>本年增</w:t>
            </w:r>
            <w:r>
              <w:rPr>
                <w:rFonts w:hint="default" w:ascii="Times New Roman" w:hAnsi="Times New Roman" w:eastAsia="仿宋_GB2312" w:cs="Times New Roman"/>
                <w:sz w:val="20"/>
                <w:szCs w:val="20"/>
              </w:rPr>
              <w:t>/</w:t>
            </w:r>
            <w:r>
              <w:rPr>
                <w:rFonts w:hint="eastAsia" w:ascii="仿宋_GB2312" w:eastAsia="仿宋_GB2312" w:cs="仿宋_GB2312"/>
                <w:sz w:val="20"/>
                <w:szCs w:val="2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行政事业性收费</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2</w:t>
            </w:r>
          </w:p>
        </w:tc>
        <w:tc>
          <w:tcPr>
            <w:tcW w:w="314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信息内容</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采购项目数量</w:t>
            </w:r>
          </w:p>
        </w:tc>
        <w:tc>
          <w:tcPr>
            <w:tcW w:w="314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政府集中采购</w:t>
            </w:r>
          </w:p>
        </w:tc>
        <w:tc>
          <w:tcPr>
            <w:tcW w:w="188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color w:val="000000"/>
                <w:sz w:val="20"/>
                <w:szCs w:val="20"/>
              </w:rPr>
              <w:t>42</w:t>
            </w:r>
          </w:p>
        </w:tc>
        <w:tc>
          <w:tcPr>
            <w:tcW w:w="314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4"/>
                <w:szCs w:val="24"/>
              </w:rPr>
              <w:t>646902.82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505" w:type="dxa"/>
            <w:shd w:val="clear"/>
            <w:vAlign w:val="center"/>
          </w:tcPr>
          <w:p>
            <w:pPr>
              <w:rPr>
                <w:rFonts w:hint="eastAsia" w:ascii="宋体"/>
                <w:sz w:val="24"/>
                <w:szCs w:val="24"/>
              </w:rPr>
            </w:pPr>
          </w:p>
        </w:tc>
        <w:tc>
          <w:tcPr>
            <w:tcW w:w="1545" w:type="dxa"/>
            <w:shd w:val="clear"/>
            <w:vAlign w:val="center"/>
          </w:tcPr>
          <w:p>
            <w:pPr>
              <w:rPr>
                <w:rFonts w:hint="eastAsia" w:ascii="宋体"/>
                <w:sz w:val="24"/>
                <w:szCs w:val="24"/>
              </w:rPr>
            </w:pPr>
          </w:p>
        </w:tc>
        <w:tc>
          <w:tcPr>
            <w:tcW w:w="6" w:type="dxa"/>
            <w:shd w:val="clear"/>
            <w:vAlign w:val="center"/>
          </w:tcPr>
          <w:p>
            <w:pPr>
              <w:rPr>
                <w:rFonts w:hint="eastAsia" w:ascii="宋体"/>
                <w:sz w:val="24"/>
                <w:szCs w:val="24"/>
              </w:rPr>
            </w:pPr>
          </w:p>
        </w:tc>
        <w:tc>
          <w:tcPr>
            <w:tcW w:w="1110" w:type="dxa"/>
            <w:shd w:val="clear"/>
            <w:vAlign w:val="center"/>
          </w:tcPr>
          <w:p>
            <w:pPr>
              <w:rPr>
                <w:rFonts w:hint="eastAsia" w:ascii="宋体"/>
                <w:sz w:val="24"/>
                <w:szCs w:val="24"/>
              </w:rPr>
            </w:pPr>
          </w:p>
        </w:tc>
        <w:tc>
          <w:tcPr>
            <w:tcW w:w="1590" w:type="dxa"/>
            <w:shd w:val="clear"/>
            <w:vAlign w:val="center"/>
          </w:tcPr>
          <w:p>
            <w:pPr>
              <w:rPr>
                <w:rFonts w:hint="eastAsia" w:ascii="宋体"/>
                <w:sz w:val="24"/>
                <w:szCs w:val="24"/>
              </w:rPr>
            </w:pPr>
          </w:p>
        </w:tc>
      </w:tr>
    </w:tbl>
    <w:p>
      <w:pPr>
        <w:pStyle w:val="2"/>
        <w:keepNext w:val="0"/>
        <w:keepLines w:val="0"/>
        <w:widowControl/>
        <w:suppressLineNumbers w:val="0"/>
        <w:shd w:val="clear" w:fill="FFFFFF"/>
        <w:spacing w:before="0" w:beforeAutospacing="0" w:after="240" w:afterAutospacing="0"/>
        <w:ind w:left="0" w:right="0"/>
        <w:jc w:val="both"/>
        <w:rPr>
          <w:rFonts w:hint="eastAsia" w:ascii="仿宋_GB2312" w:eastAsia="仿宋_GB2312" w:cs="仿宋_GB2312"/>
          <w:sz w:val="32"/>
          <w:szCs w:val="32"/>
        </w:rPr>
      </w:pPr>
      <w:r>
        <w:rPr>
          <w:rFonts w:hint="eastAsia" w:ascii="仿宋_GB2312" w:eastAsia="仿宋_GB2312" w:cs="仿宋_GB2312"/>
          <w:b/>
          <w:bCs/>
          <w:color w:val="333333"/>
          <w:sz w:val="32"/>
          <w:szCs w:val="32"/>
          <w:shd w:val="clear" w:fill="FFFFFF"/>
        </w:rPr>
        <w:t>   三、收到和处理政府信息公开申请情况</w:t>
      </w:r>
    </w:p>
    <w:tbl>
      <w:tblPr>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7"/>
        <w:gridCol w:w="854"/>
        <w:gridCol w:w="2301"/>
        <w:gridCol w:w="599"/>
        <w:gridCol w:w="755"/>
        <w:gridCol w:w="755"/>
        <w:gridCol w:w="813"/>
        <w:gridCol w:w="974"/>
        <w:gridCol w:w="712"/>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71"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（本列数据的勾稽关系为：第一项加第二项之和，等于第三项加第四项之和）</w:t>
            </w:r>
          </w:p>
        </w:tc>
        <w:tc>
          <w:tcPr>
            <w:tcW w:w="5300"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9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自然人</w:t>
            </w:r>
          </w:p>
        </w:tc>
        <w:tc>
          <w:tcPr>
            <w:tcW w:w="4007"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法人或其他组织</w:t>
            </w:r>
          </w:p>
        </w:tc>
        <w:tc>
          <w:tcPr>
            <w:tcW w:w="69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9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商业企业</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科研机构</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社会公益组织</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法律服务机构</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其他</w:t>
            </w:r>
          </w:p>
        </w:tc>
        <w:tc>
          <w:tcPr>
            <w:tcW w:w="69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一、本年新收政府信息公开申请数量</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二、上年结转政府信息公开申请数量</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三、本年度办理结果</w:t>
            </w: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ascii="楷体" w:hAnsi="楷体" w:eastAsia="楷体" w:cs="楷体"/>
                <w:sz w:val="20"/>
                <w:szCs w:val="20"/>
              </w:rPr>
              <w:t>（一）予以公开</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楷体" w:hAnsi="楷体" w:eastAsia="楷体" w:cs="楷体"/>
                <w:sz w:val="20"/>
                <w:szCs w:val="20"/>
              </w:rPr>
              <w:t>（二）部分公开（区分处理的，只计这一情形，不计其他情形）</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楷体" w:hAnsi="楷体" w:eastAsia="楷体" w:cs="楷体"/>
                <w:sz w:val="20"/>
                <w:szCs w:val="20"/>
              </w:rPr>
              <w:t>（三）不予公开</w:t>
            </w: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1.</w:t>
            </w:r>
            <w:r>
              <w:rPr>
                <w:rFonts w:hint="eastAsia" w:ascii="楷体" w:hAnsi="楷体" w:eastAsia="楷体" w:cs="楷体"/>
                <w:sz w:val="20"/>
                <w:szCs w:val="20"/>
              </w:rPr>
              <w:t>属于国家秘密</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2.</w:t>
            </w:r>
            <w:r>
              <w:rPr>
                <w:rFonts w:hint="eastAsia" w:ascii="楷体" w:hAnsi="楷体" w:eastAsia="楷体" w:cs="楷体"/>
                <w:sz w:val="20"/>
                <w:szCs w:val="20"/>
              </w:rPr>
              <w:t>其他法律行政法规禁止公开</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3.</w:t>
            </w:r>
            <w:r>
              <w:rPr>
                <w:rFonts w:hint="eastAsia" w:ascii="楷体" w:hAnsi="楷体" w:eastAsia="楷体" w:cs="楷体"/>
                <w:sz w:val="20"/>
                <w:szCs w:val="20"/>
              </w:rPr>
              <w:t>危及</w:t>
            </w:r>
            <w:r>
              <w:rPr>
                <w:rFonts w:hint="default" w:ascii="Times New Roman" w:hAnsi="Times New Roman" w:eastAsia="仿宋_GB2312" w:cs="Times New Roman"/>
                <w:sz w:val="20"/>
                <w:szCs w:val="20"/>
              </w:rPr>
              <w:t>“</w:t>
            </w:r>
            <w:r>
              <w:rPr>
                <w:rFonts w:hint="eastAsia" w:ascii="楷体" w:hAnsi="楷体" w:eastAsia="楷体" w:cs="楷体"/>
                <w:sz w:val="20"/>
                <w:szCs w:val="20"/>
              </w:rPr>
              <w:t>三安全一稳定</w:t>
            </w:r>
            <w:r>
              <w:rPr>
                <w:rFonts w:hint="default" w:ascii="Times New Roman" w:hAnsi="Times New Roman" w:eastAsia="仿宋_GB2312" w:cs="Times New Roman"/>
                <w:sz w:val="20"/>
                <w:szCs w:val="20"/>
              </w:rPr>
              <w:t>”</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4.</w:t>
            </w:r>
            <w:r>
              <w:rPr>
                <w:rFonts w:hint="eastAsia" w:ascii="楷体" w:hAnsi="楷体" w:eastAsia="楷体" w:cs="楷体"/>
                <w:sz w:val="20"/>
                <w:szCs w:val="20"/>
              </w:rPr>
              <w:t>保护第三方合法权益</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5.</w:t>
            </w:r>
            <w:r>
              <w:rPr>
                <w:rFonts w:hint="eastAsia" w:ascii="楷体" w:hAnsi="楷体" w:eastAsia="楷体" w:cs="楷体"/>
                <w:sz w:val="20"/>
                <w:szCs w:val="20"/>
              </w:rPr>
              <w:t>属于三类内部事务信息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6.</w:t>
            </w:r>
            <w:r>
              <w:rPr>
                <w:rFonts w:hint="eastAsia" w:ascii="楷体" w:hAnsi="楷体" w:eastAsia="楷体" w:cs="楷体"/>
                <w:sz w:val="20"/>
                <w:szCs w:val="20"/>
              </w:rPr>
              <w:t>属于四类过程性信息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7.</w:t>
            </w:r>
            <w:r>
              <w:rPr>
                <w:rFonts w:hint="eastAsia" w:ascii="楷体" w:hAnsi="楷体" w:eastAsia="楷体" w:cs="楷体"/>
                <w:sz w:val="20"/>
                <w:szCs w:val="20"/>
              </w:rPr>
              <w:t>属于行政执法案卷</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8.</w:t>
            </w:r>
            <w:r>
              <w:rPr>
                <w:rFonts w:hint="eastAsia" w:ascii="楷体" w:hAnsi="楷体" w:eastAsia="楷体" w:cs="楷体"/>
                <w:sz w:val="20"/>
                <w:szCs w:val="20"/>
              </w:rPr>
              <w:t>属于行政查询事项</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楷体" w:hAnsi="楷体" w:eastAsia="楷体" w:cs="楷体"/>
                <w:sz w:val="20"/>
                <w:szCs w:val="20"/>
              </w:rPr>
              <w:t>（四）无法提供</w:t>
            </w: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1.</w:t>
            </w:r>
            <w:r>
              <w:rPr>
                <w:rFonts w:hint="eastAsia" w:ascii="楷体" w:hAnsi="楷体" w:eastAsia="楷体" w:cs="楷体"/>
                <w:sz w:val="20"/>
                <w:szCs w:val="20"/>
              </w:rPr>
              <w:t>本机关不掌握相关政府信息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2.</w:t>
            </w:r>
            <w:r>
              <w:rPr>
                <w:rFonts w:hint="eastAsia" w:ascii="楷体" w:hAnsi="楷体" w:eastAsia="楷体" w:cs="楷体"/>
                <w:sz w:val="20"/>
                <w:szCs w:val="20"/>
              </w:rPr>
              <w:t>没有现成信息需要另行制作</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3.</w:t>
            </w:r>
            <w:r>
              <w:rPr>
                <w:rFonts w:hint="eastAsia" w:ascii="楷体" w:hAnsi="楷体" w:eastAsia="楷体" w:cs="楷体"/>
                <w:sz w:val="20"/>
                <w:szCs w:val="20"/>
              </w:rPr>
              <w:t>补正后申请内容仍不明确</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楷体" w:hAnsi="楷体" w:eastAsia="楷体" w:cs="楷体"/>
                <w:sz w:val="20"/>
                <w:szCs w:val="20"/>
              </w:rPr>
              <w:t>（五）不予处理</w:t>
            </w: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1.</w:t>
            </w:r>
            <w:r>
              <w:rPr>
                <w:rFonts w:hint="eastAsia" w:ascii="楷体" w:hAnsi="楷体" w:eastAsia="楷体" w:cs="楷体"/>
                <w:sz w:val="20"/>
                <w:szCs w:val="20"/>
              </w:rPr>
              <w:t>信访举报投诉类申请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2.</w:t>
            </w:r>
            <w:r>
              <w:rPr>
                <w:rFonts w:hint="eastAsia" w:ascii="楷体" w:hAnsi="楷体" w:eastAsia="楷体" w:cs="楷体"/>
                <w:sz w:val="20"/>
                <w:szCs w:val="20"/>
              </w:rPr>
              <w:t>重复申请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3.</w:t>
            </w:r>
            <w:r>
              <w:rPr>
                <w:rFonts w:hint="eastAsia" w:ascii="楷体" w:hAnsi="楷体" w:eastAsia="楷体" w:cs="楷体"/>
                <w:sz w:val="20"/>
                <w:szCs w:val="20"/>
              </w:rPr>
              <w:t>要求提供公开出版物</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4.</w:t>
            </w:r>
            <w:r>
              <w:rPr>
                <w:rFonts w:hint="eastAsia" w:ascii="楷体" w:hAnsi="楷体" w:eastAsia="楷体" w:cs="楷体"/>
                <w:sz w:val="20"/>
                <w:szCs w:val="20"/>
              </w:rPr>
              <w:t>无正当理由大量反复申请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sz w:val="20"/>
                <w:szCs w:val="20"/>
              </w:rPr>
              <w:t>5.</w:t>
            </w:r>
            <w:r>
              <w:rPr>
                <w:rFonts w:hint="eastAsia" w:ascii="楷体" w:hAnsi="楷体" w:eastAsia="楷体" w:cs="楷体"/>
                <w:sz w:val="20"/>
                <w:szCs w:val="20"/>
              </w:rPr>
              <w:t>要求行政机关确认或重新出具已获取信息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楷体" w:hAnsi="楷体" w:eastAsia="楷体" w:cs="楷体"/>
                <w:sz w:val="20"/>
                <w:szCs w:val="20"/>
              </w:rPr>
              <w:t>（六）其他处理</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楷体" w:hAnsi="楷体" w:eastAsia="楷体" w:cs="楷体"/>
                <w:sz w:val="20"/>
                <w:szCs w:val="20"/>
              </w:rPr>
              <w:t>（七）总计</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四、结转下年度继续办理</w:t>
            </w:r>
          </w:p>
        </w:tc>
        <w:tc>
          <w:tcPr>
            <w:tcW w:w="5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bl>
    <w:p>
      <w:pPr>
        <w:pStyle w:val="2"/>
        <w:keepNext w:val="0"/>
        <w:keepLines w:val="0"/>
        <w:widowControl/>
        <w:suppressLineNumbers w:val="0"/>
        <w:shd w:val="clear" w:fill="FFFFFF"/>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b/>
          <w:bCs/>
          <w:color w:val="333333"/>
          <w:sz w:val="24"/>
          <w:szCs w:val="24"/>
          <w:shd w:val="clear" w:fill="FFFFFF"/>
        </w:rPr>
        <w:t> </w:t>
      </w:r>
    </w:p>
    <w:p>
      <w:pPr>
        <w:pStyle w:val="2"/>
        <w:keepNext w:val="0"/>
        <w:keepLines w:val="0"/>
        <w:widowControl/>
        <w:suppressLineNumbers w:val="0"/>
        <w:shd w:val="clear" w:fill="FFFFFF"/>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b/>
          <w:bCs/>
          <w:color w:val="333333"/>
          <w:sz w:val="32"/>
          <w:szCs w:val="32"/>
          <w:shd w:val="clear" w:fill="FFFFFF"/>
        </w:rPr>
        <w:t> </w:t>
      </w:r>
    </w:p>
    <w:p>
      <w:pPr>
        <w:pStyle w:val="2"/>
        <w:keepNext w:val="0"/>
        <w:keepLines w:val="0"/>
        <w:widowControl/>
        <w:suppressLineNumbers w:val="0"/>
        <w:shd w:val="clear" w:fill="FFFFFF"/>
        <w:spacing w:before="0" w:beforeAutospacing="0" w:after="0" w:afterAutospacing="0"/>
        <w:ind w:left="0" w:right="0" w:firstLine="480"/>
        <w:jc w:val="both"/>
        <w:rPr>
          <w:rFonts w:hint="eastAsia" w:ascii="仿宋_GB2312" w:eastAsia="仿宋_GB2312" w:cs="仿宋_GB2312"/>
          <w:sz w:val="32"/>
          <w:szCs w:val="32"/>
        </w:rPr>
      </w:pPr>
      <w:r>
        <w:rPr>
          <w:rFonts w:hint="eastAsia" w:ascii="仿宋_GB2312" w:eastAsia="仿宋_GB2312" w:cs="仿宋_GB2312"/>
          <w:b/>
          <w:bCs/>
          <w:color w:val="333333"/>
          <w:sz w:val="32"/>
          <w:szCs w:val="32"/>
          <w:shd w:val="clear" w:fill="FFFFFF"/>
        </w:rPr>
        <w:t>四、政府信息公开行政复议、行政诉讼情况</w:t>
      </w:r>
    </w:p>
    <w:p>
      <w:pPr>
        <w:pStyle w:val="2"/>
        <w:keepNext w:val="0"/>
        <w:keepLines w:val="0"/>
        <w:widowControl/>
        <w:suppressLineNumbers w:val="0"/>
        <w:shd w:val="clear" w:fill="FFFFFF"/>
        <w:spacing w:before="0" w:beforeAutospacing="0" w:after="0" w:afterAutospacing="0"/>
        <w:ind w:left="0" w:right="0" w:firstLine="480"/>
        <w:jc w:val="both"/>
        <w:rPr>
          <w:rFonts w:hint="eastAsia" w:ascii="仿宋_GB2312" w:eastAsia="仿宋_GB2312" w:cs="仿宋_GB2312"/>
          <w:sz w:val="32"/>
          <w:szCs w:val="32"/>
        </w:rPr>
      </w:pPr>
      <w:r>
        <w:rPr>
          <w:rFonts w:hint="default" w:ascii="Times New Roman" w:hAnsi="Times New Roman" w:eastAsia="仿宋_GB2312" w:cs="Times New Roman"/>
          <w:color w:val="333333"/>
          <w:sz w:val="24"/>
          <w:szCs w:val="24"/>
          <w:shd w:val="clear" w:fill="FFFFFF"/>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8"/>
        <w:gridCol w:w="568"/>
        <w:gridCol w:w="568"/>
        <w:gridCol w:w="568"/>
        <w:gridCol w:w="611"/>
        <w:gridCol w:w="524"/>
        <w:gridCol w:w="568"/>
        <w:gridCol w:w="568"/>
        <w:gridCol w:w="568"/>
        <w:gridCol w:w="568"/>
        <w:gridCol w:w="568"/>
        <w:gridCol w:w="568"/>
        <w:gridCol w:w="568"/>
        <w:gridCol w:w="569"/>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其他结果</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尚未审结</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总计</w:t>
            </w:r>
          </w:p>
        </w:tc>
        <w:tc>
          <w:tcPr>
            <w:tcW w:w="297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未经复议直接起诉</w:t>
            </w:r>
          </w:p>
        </w:tc>
        <w:tc>
          <w:tcPr>
            <w:tcW w:w="3027"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其他结果</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尚未审结</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总计</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其他结果</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sz w:val="20"/>
                <w:szCs w:val="20"/>
              </w:rPr>
              <w:t>尚未审结</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rPr>
            </w:pPr>
            <w:r>
              <w:rPr>
                <w:rFonts w:hint="eastAsia" w:ascii="仿宋_GB2312" w:eastAsia="仿宋_GB2312" w:cs="仿宋_GB2312"/>
                <w:color w:val="00000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eastAsia" w:ascii="仿宋_GB2312" w:eastAsia="仿宋_GB2312" w:cs="仿宋_GB2312"/>
                <w:sz w:val="32"/>
                <w:szCs w:val="32"/>
              </w:rPr>
            </w:pPr>
            <w:r>
              <w:rPr>
                <w:rFonts w:hint="default" w:ascii="Times New Roman" w:hAnsi="Times New Roman" w:eastAsia="仿宋_GB2312" w:cs="Times New Roman"/>
                <w:sz w:val="20"/>
                <w:szCs w:val="20"/>
              </w:rPr>
              <w:t>0</w:t>
            </w:r>
          </w:p>
        </w:tc>
      </w:tr>
    </w:tbl>
    <w:p>
      <w:pPr>
        <w:pStyle w:val="2"/>
        <w:keepNext w:val="0"/>
        <w:keepLines w:val="0"/>
        <w:widowControl/>
        <w:suppressLineNumbers w:val="0"/>
        <w:shd w:val="clear" w:fill="FFFFFF"/>
        <w:spacing w:before="0" w:beforeAutospacing="0" w:after="0" w:afterAutospacing="0"/>
        <w:ind w:left="0" w:right="0"/>
        <w:jc w:val="both"/>
        <w:rPr>
          <w:rFonts w:hint="eastAsia" w:ascii="仿宋_GB2312" w:eastAsia="仿宋_GB2312" w:cs="仿宋_GB2312"/>
          <w:sz w:val="32"/>
          <w:szCs w:val="32"/>
        </w:rPr>
      </w:pPr>
      <w:r>
        <w:rPr>
          <w:rFonts w:hint="default" w:ascii="Times New Roman" w:hAnsi="Times New Roman" w:eastAsia="仿宋_GB2312" w:cs="Times New Roman"/>
          <w:b/>
          <w:bCs/>
          <w:color w:val="333333"/>
          <w:sz w:val="32"/>
          <w:szCs w:val="32"/>
          <w:shd w:val="clear" w:fill="FFFFFF"/>
        </w:rPr>
        <w:t>    </w:t>
      </w:r>
      <w:r>
        <w:rPr>
          <w:rFonts w:hint="default" w:ascii="Times New Roman" w:hAnsi="Times New Roman" w:eastAsia="仿宋_GB2312" w:cs="Times New Roman"/>
          <w:b/>
          <w:bCs/>
          <w:sz w:val="32"/>
          <w:szCs w:val="32"/>
          <w:shd w:val="clear" w:fill="FFFFFF"/>
        </w:rPr>
        <w:t>五、</w:t>
      </w:r>
      <w:r>
        <w:rPr>
          <w:rFonts w:hint="eastAsia" w:ascii="仿宋_GB2312" w:eastAsia="仿宋_GB2312" w:cs="仿宋_GB2312"/>
          <w:b/>
          <w:bCs/>
          <w:sz w:val="32"/>
          <w:szCs w:val="32"/>
          <w:shd w:val="clear" w:fill="FFFFFF"/>
        </w:rPr>
        <w:t>存在的主要问题及改进情况</w:t>
      </w:r>
    </w:p>
    <w:p>
      <w:pPr>
        <w:pStyle w:val="2"/>
        <w:keepNext w:val="0"/>
        <w:keepLines w:val="0"/>
        <w:widowControl/>
        <w:suppressLineNumbers w:val="0"/>
        <w:shd w:val="clear" w:fill="FFFFFF"/>
        <w:spacing w:before="0" w:beforeAutospacing="0" w:after="0" w:afterAutospacing="0"/>
        <w:ind w:left="0" w:right="0" w:firstLine="0"/>
        <w:jc w:val="both"/>
        <w:rPr>
          <w:rFonts w:hint="eastAsia" w:ascii="仿宋_GB2312" w:eastAsia="仿宋_GB2312" w:cs="仿宋_GB2312"/>
          <w:sz w:val="32"/>
          <w:szCs w:val="32"/>
        </w:rPr>
      </w:pPr>
      <w:r>
        <w:rPr>
          <w:rFonts w:hint="default" w:ascii="Times New Roman" w:hAnsi="Times New Roman" w:eastAsia="仿宋_GB2312" w:cs="Times New Roman"/>
          <w:color w:val="333333"/>
          <w:sz w:val="32"/>
          <w:szCs w:val="32"/>
          <w:shd w:val="clear" w:fill="FFFFFF"/>
        </w:rPr>
        <w:t>  （一）</w:t>
      </w:r>
      <w:r>
        <w:rPr>
          <w:rFonts w:hint="eastAsia" w:ascii="仿宋_GB2312" w:eastAsia="仿宋_GB2312" w:cs="仿宋_GB2312"/>
          <w:color w:val="333333"/>
          <w:sz w:val="32"/>
          <w:szCs w:val="32"/>
          <w:shd w:val="clear" w:fill="FFFFFF"/>
        </w:rPr>
        <w:t>存在问题：部分部门及干部对政务公开工作不重视，思想不到位；公开内容不具体、不及时；工作人员不固定，业务不熟</w:t>
      </w:r>
    </w:p>
    <w:p>
      <w:pPr>
        <w:pStyle w:val="2"/>
        <w:keepNext w:val="0"/>
        <w:keepLines w:val="0"/>
        <w:widowControl/>
        <w:suppressLineNumbers w:val="0"/>
        <w:shd w:val="clear" w:fill="FFFFFF"/>
        <w:spacing w:before="0" w:beforeAutospacing="0" w:after="0" w:afterAutospacing="0"/>
        <w:ind w:left="0" w:right="0" w:firstLine="0"/>
        <w:jc w:val="both"/>
        <w:rPr>
          <w:rFonts w:hint="eastAsia" w:ascii="仿宋_GB2312" w:eastAsia="仿宋_GB2312" w:cs="仿宋_GB2312"/>
          <w:sz w:val="32"/>
          <w:szCs w:val="32"/>
        </w:rPr>
      </w:pPr>
      <w:r>
        <w:rPr>
          <w:rFonts w:hint="default" w:ascii="Times New Roman" w:hAnsi="Times New Roman" w:eastAsia="仿宋_GB2312" w:cs="Times New Roman"/>
          <w:color w:val="333333"/>
          <w:sz w:val="32"/>
          <w:szCs w:val="32"/>
          <w:shd w:val="clear" w:fill="FFFFFF"/>
        </w:rPr>
        <w:t>  （二）</w:t>
      </w:r>
      <w:r>
        <w:rPr>
          <w:rFonts w:hint="eastAsia" w:ascii="仿宋_GB2312" w:eastAsia="仿宋_GB2312" w:cs="仿宋_GB2312"/>
          <w:color w:val="333333"/>
          <w:sz w:val="32"/>
          <w:szCs w:val="32"/>
          <w:shd w:val="clear" w:fill="FFFFFF"/>
        </w:rPr>
        <w:t>改进办法：一是加强学习。组织全体乡村干部开展新《条例》学习，积极参与市、县业务培训，提升机关干部业务知识水平。二是提高效率。由各部门主要负责人进行监督，信息员明确职责，重视政务公开工作，增强自我约束力，提高办事效率。</w:t>
      </w:r>
    </w:p>
    <w:p>
      <w:pPr>
        <w:pStyle w:val="2"/>
        <w:keepNext w:val="0"/>
        <w:keepLines w:val="0"/>
        <w:widowControl/>
        <w:suppressLineNumbers w:val="0"/>
        <w:shd w:val="clear" w:fill="FFFFFF"/>
        <w:ind w:left="0" w:right="0"/>
        <w:rPr>
          <w:rFonts w:hint="eastAsia" w:ascii="仿宋" w:hAnsi="仿宋" w:eastAsia="仿宋" w:cs="仿宋"/>
          <w:sz w:val="24"/>
          <w:szCs w:val="24"/>
        </w:rPr>
      </w:pPr>
      <w:r>
        <w:rPr>
          <w:rFonts w:hint="eastAsia" w:ascii="仿宋" w:hAnsi="仿宋" w:eastAsia="仿宋" w:cs="仿宋"/>
          <w:color w:val="333333"/>
          <w:sz w:val="32"/>
          <w:szCs w:val="32"/>
          <w:shd w:val="clear" w:fill="FFFFFF"/>
        </w:rPr>
        <w:t>  （三）下一年工作计划：</w:t>
      </w:r>
      <w:r>
        <w:rPr>
          <w:rFonts w:hint="default" w:ascii="Times New Roman" w:hAnsi="Times New Roman" w:eastAsia="仿宋" w:cs="Times New Roman"/>
          <w:color w:val="333333"/>
          <w:sz w:val="32"/>
          <w:szCs w:val="32"/>
          <w:shd w:val="clear" w:fill="FFFFFF"/>
        </w:rPr>
        <w:t>2021</w:t>
      </w:r>
      <w:r>
        <w:rPr>
          <w:rFonts w:hint="eastAsia" w:ascii="仿宋" w:hAnsi="仿宋" w:eastAsia="仿宋" w:cs="仿宋"/>
          <w:color w:val="333333"/>
          <w:sz w:val="32"/>
          <w:szCs w:val="32"/>
          <w:shd w:val="clear" w:fill="FFFFFF"/>
        </w:rPr>
        <w:t>年花石乡将进一步加大干部对政务公开工作的认识，加强宣传教育；进一步加大督促检查力度，将政务公开工作纳入每月考评；进一步健全和完善信息公开各项制度，规范和完善政务公开的内容和形式。</w:t>
      </w:r>
    </w:p>
    <w:p>
      <w:pPr>
        <w:pStyle w:val="2"/>
        <w:keepNext w:val="0"/>
        <w:keepLines w:val="0"/>
        <w:widowControl/>
        <w:suppressLineNumbers w:val="0"/>
        <w:shd w:val="clear" w:fill="FFFFFF"/>
        <w:ind w:left="0" w:right="0"/>
        <w:rPr>
          <w:rFonts w:hint="eastAsia" w:ascii="仿宋" w:hAnsi="仿宋" w:eastAsia="仿宋" w:cs="仿宋"/>
          <w:sz w:val="24"/>
          <w:szCs w:val="24"/>
        </w:rPr>
      </w:pPr>
      <w:r>
        <w:rPr>
          <w:rFonts w:hint="eastAsia" w:ascii="仿宋_GB2312" w:hAnsi="仿宋" w:eastAsia="仿宋_GB2312" w:cs="仿宋_GB2312"/>
          <w:b/>
          <w:bCs/>
          <w:sz w:val="32"/>
          <w:szCs w:val="32"/>
          <w:shd w:val="clear" w:fill="FFFFFF"/>
        </w:rPr>
        <w:t>    六、其他需要报告的事项</w:t>
      </w:r>
    </w:p>
    <w:p>
      <w:pPr>
        <w:pStyle w:val="2"/>
        <w:keepNext w:val="0"/>
        <w:keepLines w:val="0"/>
        <w:widowControl/>
        <w:suppressLineNumbers w:val="0"/>
        <w:spacing w:before="0" w:beforeAutospacing="0" w:after="0" w:afterAutospacing="0" w:line="580" w:lineRule="atLeast"/>
        <w:ind w:left="0" w:right="356" w:firstLine="640"/>
        <w:jc w:val="both"/>
        <w:rPr>
          <w:rFonts w:hint="eastAsia" w:ascii="仿宋_GB2312" w:eastAsia="仿宋_GB2312" w:cs="仿宋_GB2312"/>
          <w:sz w:val="32"/>
          <w:szCs w:val="32"/>
        </w:rPr>
      </w:pPr>
      <w:r>
        <w:rPr>
          <w:rFonts w:hint="eastAsia" w:ascii="仿宋_GB2312" w:eastAsia="仿宋_GB2312" w:cs="仿宋_GB2312"/>
          <w:color w:val="333333"/>
          <w:sz w:val="32"/>
          <w:szCs w:val="32"/>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OThlNDQ3OTI1NTVkODdiODBhNTA3ZTM1NzlhYTMifQ=="/>
  </w:docVars>
  <w:rsids>
    <w:rsidRoot w:val="5FFA4F57"/>
    <w:rsid w:val="5FFA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3810</Words>
  <Characters>4018</Characters>
  <Lines>0</Lines>
  <Paragraphs>0</Paragraphs>
  <TotalTime>1</TotalTime>
  <ScaleCrop>false</ScaleCrop>
  <LinksUpToDate>false</LinksUpToDate>
  <CharactersWithSpaces>4023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2024-07-02T02:28:00Z</dcterms:created>
  <dc:creator>M鹿夫人M</dc:creator>
  <cp:lastModifiedBy>M鹿夫人M</cp:lastModifiedBy>
  <dcterms:modified xsi:type="dcterms:W3CDTF">2024-07-02T02:31:55Z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123F2443420D4120A56F753396579199_11</vt:lpwstr>
  </property>
</Properties>
</file>