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金寨县吴家店镇2021年政府信息公开工作年度报告</w:t>
      </w:r>
    </w:p>
    <w:p>
      <w:pPr>
        <w:jc w:val="left"/>
        <w:rPr>
          <w:rFonts w:hint="eastAsia" w:ascii="方正小标宋简体" w:hAnsi="方正小标宋简体" w:eastAsia="方正小标宋简体" w:cs="方正小标宋简体"/>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firstLineChars="200"/>
        <w:jc w:val="left"/>
        <w:rPr>
          <w:rFonts w:hint="eastAsia" w:ascii="仿宋" w:hAnsi="仿宋" w:eastAsia="仿宋" w:cs="仿宋"/>
          <w:i w:val="0"/>
          <w:iCs w:val="0"/>
          <w:caps w:val="0"/>
          <w:color w:val="000000"/>
          <w:spacing w:val="30"/>
          <w:sz w:val="32"/>
          <w:szCs w:val="32"/>
          <w:bdr w:val="none" w:color="auto" w:sz="0" w:space="0"/>
          <w:shd w:val="clear" w:fill="FFFFFF"/>
        </w:rPr>
      </w:pPr>
      <w:r>
        <w:rPr>
          <w:rFonts w:hint="eastAsia" w:ascii="仿宋" w:hAnsi="仿宋" w:eastAsia="仿宋" w:cs="仿宋"/>
          <w:i w:val="0"/>
          <w:iCs w:val="0"/>
          <w:caps w:val="0"/>
          <w:color w:val="000000"/>
          <w:spacing w:val="0"/>
          <w:sz w:val="32"/>
          <w:szCs w:val="32"/>
          <w:bdr w:val="none" w:color="auto" w:sz="0" w:space="0"/>
          <w:shd w:val="clear" w:fill="FFFFFF"/>
        </w:rPr>
        <w:t>本报告依据《中华人民共和国政府信息公开条例》（国务院令第711号，以下简称新《条例》）、《六安市政务公开办公室关于做好政府信息公开年度报告编制和发布工作的通知》（六政务公开办〔2021〕64号）和《金寨县政务公开办公室关于做好政府信息公开年度报告编制和发布工作的通知》（金政公开〔2021〕28号）文件要求编制而成。报告主要包括：总体情况、行政机关主动公开政府信息情况、收到和处理政府信息公开申请情况、政府信息公开行政复议及行政诉讼情况、政府信息公开工作存在的主要问题及改进情况和其他需要报告的事项。本报告中使用数据统计期限为2021年1月1日至12月31日，报告</w:t>
      </w:r>
      <w:r>
        <w:rPr>
          <w:rFonts w:hint="eastAsia" w:ascii="仿宋" w:hAnsi="仿宋" w:eastAsia="仿宋" w:cs="仿宋"/>
          <w:i w:val="0"/>
          <w:iCs w:val="0"/>
          <w:caps w:val="0"/>
          <w:color w:val="000000"/>
          <w:spacing w:val="30"/>
          <w:sz w:val="32"/>
          <w:szCs w:val="32"/>
          <w:bdr w:val="none" w:color="auto" w:sz="0" w:space="0"/>
          <w:shd w:val="clear" w:fill="FFFFFF"/>
        </w:rPr>
        <w:t>的电子版可在金寨县信息公开网下载。（网址：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ascii="仿宋" w:hAnsi="仿宋" w:eastAsia="仿宋" w:cs="仿宋"/>
          <w:i w:val="0"/>
          <w:iCs w:val="0"/>
          <w:caps w:val="0"/>
          <w:color w:val="333333"/>
          <w:spacing w:val="0"/>
          <w:sz w:val="32"/>
          <w:szCs w:val="32"/>
        </w:rPr>
      </w:pPr>
      <w:bookmarkStart w:id="0" w:name="_GoBack"/>
      <w:bookmarkEnd w:id="0"/>
      <w:r>
        <w:rPr>
          <w:rFonts w:hint="eastAsia" w:ascii="仿宋" w:hAnsi="仿宋" w:eastAsia="仿宋" w:cs="仿宋"/>
          <w:i w:val="0"/>
          <w:iCs w:val="0"/>
          <w:caps w:val="0"/>
          <w:color w:val="000000"/>
          <w:spacing w:val="0"/>
          <w:sz w:val="32"/>
          <w:szCs w:val="32"/>
          <w:bdr w:val="none" w:color="auto" w:sz="0" w:space="0"/>
          <w:shd w:val="clear" w:fill="FFFFFF"/>
        </w:rPr>
        <w:t>https://www.ahjinzhai.gov.cn/public/content/34852320?shareKey=b98ec3bed61b41b9bff4f1c564124fc5）如对本报告有任何疑问，请与吴家店镇人民政府办公室联系（地址：吴家店镇人民政府二楼，电话：0564--7652002，邮编：237372）。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ascii="黑体" w:hAnsi="宋体" w:eastAsia="黑体" w:cs="黑体"/>
          <w:i w:val="0"/>
          <w:iCs w:val="0"/>
          <w:caps w:val="0"/>
          <w:color w:val="333333"/>
          <w:spacing w:val="0"/>
          <w:sz w:val="32"/>
          <w:szCs w:val="32"/>
          <w:bdr w:val="none" w:color="auto" w:sz="0" w:space="0"/>
          <w:shd w:val="clear"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000000"/>
          <w:spacing w:val="0"/>
          <w:sz w:val="32"/>
          <w:szCs w:val="32"/>
          <w:bdr w:val="none" w:color="auto" w:sz="0" w:space="0"/>
          <w:shd w:val="clear" w:fill="FFFFFF"/>
        </w:rPr>
        <w:t>（一）主动公开情况。</w:t>
      </w:r>
      <w:r>
        <w:rPr>
          <w:rFonts w:hint="eastAsia" w:ascii="仿宋" w:hAnsi="仿宋" w:eastAsia="仿宋" w:cs="仿宋"/>
          <w:i w:val="0"/>
          <w:iCs w:val="0"/>
          <w:caps w:val="0"/>
          <w:color w:val="000000"/>
          <w:spacing w:val="0"/>
          <w:sz w:val="32"/>
          <w:szCs w:val="32"/>
          <w:bdr w:val="none" w:color="auto" w:sz="0" w:space="0"/>
          <w:shd w:val="clear" w:fill="FFFFFF"/>
        </w:rPr>
        <w:t>金寨县吴家店镇人民政府认真贯彻《条例》，进一步明确主动公开范围，规范政府信息发布流程。推进决策、执行、管理、服务和结果全过程公开，推动工作落实，集中展示信息。2021年按照上级统一部署，积极做好政府信息公开，在政府信息公开网站，主动发布信息共计1181条，两化领域更新3041条，其中更新财政信息（含财政专项资金、财政预决算、三公经费）474条、规划信息78条、疫情防控信息20条、政策解读信息13条、回应关切信息68条。重点做好政府信息主动公开目录、26个政务公开标准化规范化和4个试点领域目录做好信息公开，并开展村务公开延伸试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000000"/>
          <w:spacing w:val="0"/>
          <w:sz w:val="32"/>
          <w:szCs w:val="32"/>
          <w:bdr w:val="none" w:color="auto" w:sz="0" w:space="0"/>
          <w:shd w:val="clear" w:fill="FFFFFF"/>
        </w:rPr>
        <w:t>（二）依申请公开。</w:t>
      </w:r>
      <w:r>
        <w:rPr>
          <w:rFonts w:hint="eastAsia" w:ascii="仿宋" w:hAnsi="仿宋" w:eastAsia="仿宋" w:cs="仿宋"/>
          <w:i w:val="0"/>
          <w:iCs w:val="0"/>
          <w:caps w:val="0"/>
          <w:color w:val="000000"/>
          <w:spacing w:val="0"/>
          <w:sz w:val="32"/>
          <w:szCs w:val="32"/>
          <w:bdr w:val="none" w:color="auto" w:sz="0" w:space="0"/>
          <w:shd w:val="clear" w:fill="FFFFFF"/>
        </w:rPr>
        <w:t>建立健全政府信息公开申请登记、审核、办理、答复、归档的工作制度，修订政府信息公开指南，逐一列示信息公开申请渠道。2021年，吴家店镇未收到依申请公开信息。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000000"/>
          <w:spacing w:val="0"/>
          <w:sz w:val="32"/>
          <w:szCs w:val="32"/>
          <w:bdr w:val="none" w:color="auto" w:sz="0" w:space="0"/>
          <w:shd w:val="clear" w:fill="FFFFFF"/>
        </w:rPr>
        <w:t>（三）政府信息管理。</w:t>
      </w:r>
      <w:r>
        <w:rPr>
          <w:rFonts w:hint="eastAsia" w:ascii="仿宋" w:hAnsi="仿宋" w:eastAsia="仿宋" w:cs="仿宋"/>
          <w:i w:val="0"/>
          <w:iCs w:val="0"/>
          <w:caps w:val="0"/>
          <w:color w:val="000000"/>
          <w:spacing w:val="0"/>
          <w:sz w:val="32"/>
          <w:szCs w:val="32"/>
          <w:bdr w:val="none" w:color="auto" w:sz="0" w:space="0"/>
          <w:shd w:val="clear" w:fill="FFFFFF"/>
        </w:rPr>
        <w:t>吴家店镇全面完成政府信息主动公开基本目录建设，并按照要求发布。严格落实“三审”制度，重点防范出现泄露群众隐私、重大表述错误和信息泄密等情况，全年未因政府信息公开引发负面舆情事件。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000000"/>
          <w:spacing w:val="0"/>
          <w:sz w:val="32"/>
          <w:szCs w:val="32"/>
          <w:bdr w:val="none" w:color="auto" w:sz="0" w:space="0"/>
          <w:shd w:val="clear" w:fill="FFFFFF"/>
        </w:rPr>
        <w:t>（四）政府信息公开平台建设情况。</w:t>
      </w:r>
      <w:r>
        <w:rPr>
          <w:rFonts w:hint="eastAsia" w:ascii="仿宋" w:hAnsi="仿宋" w:eastAsia="仿宋" w:cs="仿宋"/>
          <w:i w:val="0"/>
          <w:iCs w:val="0"/>
          <w:caps w:val="0"/>
          <w:color w:val="000000"/>
          <w:spacing w:val="0"/>
          <w:sz w:val="32"/>
          <w:szCs w:val="32"/>
          <w:bdr w:val="none" w:color="auto" w:sz="0" w:space="0"/>
          <w:shd w:val="clear" w:fill="FFFFFF"/>
        </w:rPr>
        <w:t>在县政府办的指导下，进一步完善了我镇政务公开栏、村务公开栏的建设，在为民服务中心、村为民服务工作站设立了政府信息公开查阅点。积极配合政府信息公开目录调整，重点对财政专项资金、政策解读、两化试点领域和村务公开等栏目进行调整规范，并根据政府信息公开目录调整，及时做好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000000"/>
          <w:spacing w:val="0"/>
          <w:sz w:val="32"/>
          <w:szCs w:val="32"/>
          <w:bdr w:val="none" w:color="auto" w:sz="0" w:space="0"/>
          <w:shd w:val="clear" w:fill="FFFFFF"/>
        </w:rPr>
        <w:t>（五）政府信息公开监督保障。</w:t>
      </w:r>
      <w:r>
        <w:rPr>
          <w:rFonts w:hint="eastAsia" w:ascii="仿宋" w:hAnsi="仿宋" w:eastAsia="仿宋" w:cs="仿宋"/>
          <w:i w:val="0"/>
          <w:iCs w:val="0"/>
          <w:caps w:val="0"/>
          <w:color w:val="000000"/>
          <w:spacing w:val="0"/>
          <w:sz w:val="32"/>
          <w:szCs w:val="32"/>
          <w:bdr w:val="none" w:color="auto" w:sz="0" w:space="0"/>
          <w:shd w:val="clear" w:fill="FFFFFF"/>
        </w:rPr>
        <w:t>吴家店镇成立了以镇长为组长、分管领导为副组长的政务公开工作领导组，强化日常考核，将政府信息公开工作纳入年度目标绩效考评，坚持每月一统计、季度一通报，按季度召开政务公开部门协调会和调度会，对工作开展滞后、信息公开失误的单位进行通报。2021年我镇在县政务公开工作考核中取得了良好成绩，接受各单位和群众的社会监督，社会评议良好，未产生责任追究相关问题和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二、主动公开政府信息情况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0" w:lineRule="atLeast"/>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tbl>
      <w:tblPr>
        <w:tblW w:w="87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67"/>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8772"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467"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信息内容</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本年</w:t>
            </w:r>
            <w:r>
              <w:rPr>
                <w:rFonts w:hint="eastAsia" w:ascii="宋体" w:hAnsi="宋体" w:eastAsia="宋体" w:cs="宋体"/>
                <w:sz w:val="20"/>
                <w:szCs w:val="20"/>
                <w:bdr w:val="none" w:color="auto" w:sz="0" w:space="0"/>
              </w:rPr>
              <w:t>制发件数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本年废止件数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现行有效件</w:t>
            </w:r>
            <w:r>
              <w:rPr>
                <w:rFonts w:hint="eastAsia" w:ascii="宋体" w:hAnsi="宋体" w:eastAsia="宋体" w:cs="宋体"/>
                <w:sz w:val="20"/>
                <w:szCs w:val="20"/>
                <w:bdr w:val="none" w:color="auto" w:sz="0" w:space="0"/>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467"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规章</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467"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行政规范性文件</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772"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467"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67"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行政许可</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ascii="Calibri" w:hAnsi="Calibri" w:eastAsia="仿宋" w:cs="Calibri"/>
                <w:sz w:val="21"/>
                <w:szCs w:val="21"/>
                <w:bdr w:val="none" w:color="auto" w:sz="0" w:space="0"/>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772"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467"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信息内容</w:t>
            </w:r>
          </w:p>
        </w:tc>
        <w:tc>
          <w:tcPr>
            <w:tcW w:w="7305" w:type="dxa"/>
            <w:gridSpan w:val="3"/>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1467"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行政处罚</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467"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行政强制</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772"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467"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467"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行政事业性收费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sz w:val="24"/>
                <w:szCs w:val="24"/>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2"/>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2"/>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2"/>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三、收到和处理政府信息公开申请情况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tbl>
      <w:tblPr>
        <w:tblW w:w="935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4"/>
        <w:gridCol w:w="920"/>
        <w:gridCol w:w="2966"/>
        <w:gridCol w:w="650"/>
        <w:gridCol w:w="650"/>
        <w:gridCol w:w="650"/>
        <w:gridCol w:w="650"/>
        <w:gridCol w:w="650"/>
        <w:gridCol w:w="650"/>
        <w:gridCol w:w="6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35" w:type="dxa"/>
            <w:gridSpan w:val="3"/>
            <w:vMerge w:val="restart"/>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楷体" w:hAnsi="楷体" w:eastAsia="楷体" w:cs="楷体"/>
                <w:sz w:val="20"/>
                <w:szCs w:val="20"/>
                <w:bdr w:val="none" w:color="auto" w:sz="0" w:space="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35"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88" w:type="dxa"/>
            <w:vMerge w:val="restart"/>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自然人</w:t>
            </w:r>
          </w:p>
        </w:tc>
        <w:tc>
          <w:tcPr>
            <w:tcW w:w="3440" w:type="dxa"/>
            <w:gridSpan w:val="5"/>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法人或其他组织</w:t>
            </w:r>
          </w:p>
        </w:tc>
        <w:tc>
          <w:tcPr>
            <w:tcW w:w="688" w:type="dxa"/>
            <w:vMerge w:val="restart"/>
            <w:tcBorders>
              <w:top w:val="single" w:color="auto" w:sz="8" w:space="0"/>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35"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88" w:type="dxa"/>
            <w:vMerge w:val="continue"/>
            <w:tcBorders>
              <w:top w:val="nil"/>
              <w:left w:val="nil"/>
              <w:bottom w:val="single"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商业企业</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机构</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社会公益组织</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法律服务机构</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其他</w:t>
            </w:r>
          </w:p>
        </w:tc>
        <w:tc>
          <w:tcPr>
            <w:tcW w:w="688" w:type="dxa"/>
            <w:vMerge w:val="continue"/>
            <w:tcBorders>
              <w:top w:val="single" w:color="auto" w:sz="8" w:space="0"/>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35"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一、本年新收政府信息公开申请数量</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35"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二、上年结转政府信息公开申请数量</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restart"/>
            <w:tcBorders>
              <w:top w:val="nil"/>
              <w:left w:val="single" w:color="auto" w:sz="8" w:space="0"/>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三、本年度办理结果</w:t>
            </w:r>
          </w:p>
        </w:tc>
        <w:tc>
          <w:tcPr>
            <w:tcW w:w="4162" w:type="dxa"/>
            <w:gridSpan w:val="2"/>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（一）予以公开</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4162" w:type="dxa"/>
            <w:gridSpan w:val="2"/>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（二）部分公开</w:t>
            </w:r>
            <w:r>
              <w:rPr>
                <w:rFonts w:hint="eastAsia" w:ascii="楷体" w:hAnsi="楷体" w:eastAsia="楷体" w:cs="楷体"/>
                <w:sz w:val="20"/>
                <w:szCs w:val="20"/>
                <w:bdr w:val="none" w:color="auto" w:sz="0" w:space="0"/>
              </w:rPr>
              <w:t>（区分处理的，只计这一情形，不计其他情形）</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（三）不予公开</w:t>
            </w: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1.属于国家秘密</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2.其他法律行政法规禁止公开</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3.危及“三安全一稳定”</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4.保护第三方合法权益</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5.属于三类内部事务信息</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6.属于四类过程性信息</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7.属于行政执法案卷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8.属于行政查询事项</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（四）无法提供</w:t>
            </w: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1.本机关不掌握相关政府信息</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2.没有现成信息需要另行制作</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3.补正后申请内容仍不明确</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（五）不予处理</w:t>
            </w: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1.信访举报投诉类申请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2.重复申请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3.要求提供公开出版物</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4.无正当理由大量反复申请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5" w:hRule="atLeast"/>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both"/>
              <w:rPr>
                <w:rFonts w:hint="eastAsia" w:ascii="仿宋" w:hAnsi="仿宋" w:eastAsia="仿宋" w:cs="仿宋"/>
                <w:sz w:val="32"/>
                <w:szCs w:val="32"/>
              </w:rPr>
            </w:pPr>
            <w:r>
              <w:rPr>
                <w:rFonts w:hint="eastAsia" w:ascii="宋体" w:hAnsi="宋体" w:eastAsia="宋体" w:cs="宋体"/>
                <w:sz w:val="20"/>
                <w:szCs w:val="20"/>
                <w:bdr w:val="none" w:color="auto" w:sz="0" w:space="0"/>
              </w:rPr>
              <w:t>5.要求行政机关确认或重新出具已获取信息</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（六）其他处理</w:t>
            </w:r>
          </w:p>
        </w:tc>
        <w:tc>
          <w:tcPr>
            <w:tcW w:w="3219"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3.其他</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4162" w:type="dxa"/>
            <w:gridSpan w:val="2"/>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（七）总计</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35"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left"/>
              <w:rPr>
                <w:rFonts w:hint="eastAsia" w:ascii="仿宋" w:hAnsi="仿宋" w:eastAsia="仿宋" w:cs="仿宋"/>
                <w:sz w:val="32"/>
                <w:szCs w:val="32"/>
              </w:rPr>
            </w:pPr>
            <w:r>
              <w:rPr>
                <w:rFonts w:hint="eastAsia" w:ascii="宋体" w:hAnsi="宋体" w:eastAsia="宋体" w:cs="宋体"/>
                <w:sz w:val="20"/>
                <w:szCs w:val="20"/>
                <w:bdr w:val="none" w:color="auto" w:sz="0" w:space="0"/>
              </w:rPr>
              <w:t>四、结转下年度继续办理</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仿宋" w:hAnsi="仿宋" w:eastAsia="仿宋" w:cs="仿宋"/>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四、政府信息公开行政复议、行政诉讼情况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1"/>
        <w:gridCol w:w="589"/>
        <w:gridCol w:w="567"/>
        <w:gridCol w:w="567"/>
        <w:gridCol w:w="567"/>
        <w:gridCol w:w="567"/>
        <w:gridCol w:w="567"/>
        <w:gridCol w:w="567"/>
        <w:gridCol w:w="567"/>
        <w:gridCol w:w="567"/>
        <w:gridCol w:w="567"/>
        <w:gridCol w:w="567"/>
        <w:gridCol w:w="567"/>
        <w:gridCol w:w="567"/>
        <w:gridCol w:w="5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71"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行政复议</w:t>
            </w:r>
          </w:p>
        </w:tc>
        <w:tc>
          <w:tcPr>
            <w:tcW w:w="6498"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eastAsia" w:ascii="仿宋" w:hAnsi="仿宋" w:eastAsia="仿宋" w:cs="仿宋"/>
                <w:sz w:val="32"/>
                <w:szCs w:val="32"/>
              </w:rPr>
            </w:pPr>
            <w:r>
              <w:rPr>
                <w:rFonts w:hint="eastAsia" w:ascii="宋体" w:hAnsi="宋体" w:eastAsia="宋体" w:cs="宋体"/>
                <w:sz w:val="20"/>
                <w:szCs w:val="20"/>
                <w:bdr w:val="none" w:color="auto" w:sz="0" w:space="0"/>
              </w:rPr>
              <w:t>结果维持</w:t>
            </w:r>
          </w:p>
        </w:tc>
        <w:tc>
          <w:tcPr>
            <w:tcW w:w="683"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eastAsia" w:ascii="仿宋" w:hAnsi="仿宋" w:eastAsia="仿宋" w:cs="仿宋"/>
                <w:sz w:val="32"/>
                <w:szCs w:val="32"/>
              </w:rPr>
            </w:pPr>
            <w:r>
              <w:rPr>
                <w:rFonts w:hint="eastAsia" w:ascii="宋体" w:hAnsi="宋体" w:eastAsia="宋体" w:cs="宋体"/>
                <w:sz w:val="20"/>
                <w:szCs w:val="20"/>
                <w:bdr w:val="none" w:color="auto" w:sz="0" w:space="0"/>
              </w:rPr>
              <w:t>结果</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纠正</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eastAsia" w:ascii="仿宋" w:hAnsi="仿宋" w:eastAsia="仿宋" w:cs="仿宋"/>
                <w:sz w:val="32"/>
                <w:szCs w:val="32"/>
              </w:rPr>
            </w:pPr>
            <w:r>
              <w:rPr>
                <w:rFonts w:hint="eastAsia" w:ascii="宋体" w:hAnsi="宋体" w:eastAsia="宋体" w:cs="宋体"/>
                <w:sz w:val="20"/>
                <w:szCs w:val="20"/>
                <w:bdr w:val="none" w:color="auto" w:sz="0" w:space="0"/>
              </w:rPr>
              <w:t>其他</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结果</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eastAsia" w:ascii="仿宋" w:hAnsi="仿宋" w:eastAsia="仿宋" w:cs="仿宋"/>
                <w:sz w:val="32"/>
                <w:szCs w:val="32"/>
              </w:rPr>
            </w:pPr>
            <w:r>
              <w:rPr>
                <w:rFonts w:hint="eastAsia" w:ascii="宋体" w:hAnsi="宋体" w:eastAsia="宋体" w:cs="宋体"/>
                <w:sz w:val="20"/>
                <w:szCs w:val="20"/>
                <w:bdr w:val="none" w:color="auto" w:sz="0" w:space="0"/>
              </w:rPr>
              <w:t>尚未</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审结</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eastAsia" w:ascii="仿宋" w:hAnsi="仿宋" w:eastAsia="仿宋" w:cs="仿宋"/>
                <w:sz w:val="32"/>
                <w:szCs w:val="32"/>
              </w:rPr>
            </w:pPr>
            <w:r>
              <w:rPr>
                <w:rFonts w:hint="eastAsia" w:ascii="宋体" w:hAnsi="宋体" w:eastAsia="宋体" w:cs="宋体"/>
                <w:sz w:val="20"/>
                <w:szCs w:val="20"/>
                <w:bdr w:val="none" w:color="auto" w:sz="0" w:space="0"/>
              </w:rPr>
              <w:t>总计</w:t>
            </w:r>
          </w:p>
        </w:tc>
        <w:tc>
          <w:tcPr>
            <w:tcW w:w="3248"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未经复议直接起诉</w:t>
            </w:r>
          </w:p>
        </w:tc>
        <w:tc>
          <w:tcPr>
            <w:tcW w:w="3250"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0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8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eastAsia" w:ascii="仿宋" w:hAnsi="仿宋" w:eastAsia="仿宋" w:cs="仿宋"/>
                <w:sz w:val="32"/>
                <w:szCs w:val="32"/>
              </w:rPr>
            </w:pPr>
            <w:r>
              <w:rPr>
                <w:rFonts w:hint="eastAsia" w:ascii="宋体" w:hAnsi="宋体" w:eastAsia="宋体" w:cs="宋体"/>
                <w:sz w:val="20"/>
                <w:szCs w:val="20"/>
                <w:bdr w:val="none" w:color="auto" w:sz="0" w:space="0"/>
              </w:rPr>
              <w:t>结果</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维持</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eastAsia" w:ascii="仿宋" w:hAnsi="仿宋" w:eastAsia="仿宋" w:cs="仿宋"/>
                <w:sz w:val="32"/>
                <w:szCs w:val="32"/>
              </w:rPr>
            </w:pPr>
            <w:r>
              <w:rPr>
                <w:rFonts w:hint="eastAsia" w:ascii="宋体" w:hAnsi="宋体" w:eastAsia="宋体" w:cs="宋体"/>
                <w:sz w:val="20"/>
                <w:szCs w:val="20"/>
                <w:bdr w:val="none" w:color="auto" w:sz="0" w:space="0"/>
              </w:rPr>
              <w:t>结果</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纠正</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eastAsia" w:ascii="仿宋" w:hAnsi="仿宋" w:eastAsia="仿宋" w:cs="仿宋"/>
                <w:sz w:val="32"/>
                <w:szCs w:val="32"/>
              </w:rPr>
            </w:pPr>
            <w:r>
              <w:rPr>
                <w:rFonts w:hint="eastAsia" w:ascii="宋体" w:hAnsi="宋体" w:eastAsia="宋体" w:cs="宋体"/>
                <w:sz w:val="20"/>
                <w:szCs w:val="20"/>
                <w:bdr w:val="none" w:color="auto" w:sz="0" w:space="0"/>
              </w:rPr>
              <w:t>其他</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结果</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eastAsia" w:ascii="仿宋" w:hAnsi="仿宋" w:eastAsia="仿宋" w:cs="仿宋"/>
                <w:sz w:val="32"/>
                <w:szCs w:val="32"/>
              </w:rPr>
            </w:pPr>
            <w:r>
              <w:rPr>
                <w:rFonts w:hint="eastAsia" w:ascii="宋体" w:hAnsi="宋体" w:eastAsia="宋体" w:cs="宋体"/>
                <w:sz w:val="20"/>
                <w:szCs w:val="20"/>
                <w:bdr w:val="none" w:color="auto" w:sz="0" w:space="0"/>
              </w:rPr>
              <w:t>尚未</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审结</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总计</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eastAsia" w:ascii="仿宋" w:hAnsi="仿宋" w:eastAsia="仿宋" w:cs="仿宋"/>
                <w:sz w:val="32"/>
                <w:szCs w:val="32"/>
              </w:rPr>
            </w:pPr>
            <w:r>
              <w:rPr>
                <w:rFonts w:hint="eastAsia" w:ascii="宋体" w:hAnsi="宋体" w:eastAsia="宋体" w:cs="宋体"/>
                <w:sz w:val="20"/>
                <w:szCs w:val="20"/>
                <w:bdr w:val="none" w:color="auto" w:sz="0" w:space="0"/>
              </w:rPr>
              <w:t>结果</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维持</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eastAsia" w:ascii="仿宋" w:hAnsi="仿宋" w:eastAsia="仿宋" w:cs="仿宋"/>
                <w:sz w:val="32"/>
                <w:szCs w:val="32"/>
              </w:rPr>
            </w:pPr>
            <w:r>
              <w:rPr>
                <w:rFonts w:hint="eastAsia" w:ascii="宋体" w:hAnsi="宋体" w:eastAsia="宋体" w:cs="宋体"/>
                <w:sz w:val="20"/>
                <w:szCs w:val="20"/>
                <w:bdr w:val="none" w:color="auto" w:sz="0" w:space="0"/>
              </w:rPr>
              <w:t>结果</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纠正</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其他</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结果</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eastAsia" w:ascii="仿宋" w:hAnsi="仿宋" w:eastAsia="仿宋" w:cs="仿宋"/>
                <w:sz w:val="32"/>
                <w:szCs w:val="32"/>
              </w:rPr>
            </w:pPr>
            <w:r>
              <w:rPr>
                <w:rFonts w:hint="eastAsia" w:ascii="宋体" w:hAnsi="宋体" w:eastAsia="宋体" w:cs="宋体"/>
                <w:sz w:val="20"/>
                <w:szCs w:val="20"/>
                <w:bdr w:val="none" w:color="auto" w:sz="0" w:space="0"/>
              </w:rPr>
              <w:t>尚未</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审结</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黑体" w:hAnsi="宋体" w:eastAsia="黑体" w:cs="黑体"/>
                <w:sz w:val="20"/>
                <w:szCs w:val="20"/>
                <w:bdr w:val="none" w:color="auto" w:sz="0" w:space="0"/>
              </w:rPr>
              <w:t>0</w:t>
            </w:r>
          </w:p>
        </w:tc>
        <w:tc>
          <w:tcPr>
            <w:tcW w:w="68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黑体" w:hAnsi="宋体" w:eastAsia="黑体" w:cs="黑体"/>
                <w:sz w:val="20"/>
                <w:szCs w:val="20"/>
                <w:bdr w:val="none" w:color="auto" w:sz="0" w:space="0"/>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黑体" w:hAnsi="宋体" w:eastAsia="黑体" w:cs="黑体"/>
                <w:sz w:val="20"/>
                <w:szCs w:val="20"/>
                <w:bdr w:val="none" w:color="auto" w:sz="0" w:space="0"/>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黑体" w:hAnsi="宋体" w:eastAsia="黑体" w:cs="黑体"/>
                <w:sz w:val="20"/>
                <w:szCs w:val="20"/>
                <w:bdr w:val="none" w:color="auto" w:sz="0" w:space="0"/>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黑体" w:hAnsi="宋体" w:eastAsia="黑体" w:cs="黑体"/>
                <w:sz w:val="20"/>
                <w:szCs w:val="20"/>
                <w:bdr w:val="none" w:color="auto" w:sz="0" w:space="0"/>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黑体" w:hAnsi="宋体" w:eastAsia="黑体" w:cs="黑体"/>
                <w:sz w:val="20"/>
                <w:szCs w:val="20"/>
                <w:bdr w:val="none" w:color="auto" w:sz="0" w:space="0"/>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黑体" w:hAnsi="宋体" w:eastAsia="黑体" w:cs="黑体"/>
                <w:sz w:val="20"/>
                <w:szCs w:val="20"/>
                <w:bdr w:val="none" w:color="auto" w:sz="0" w:space="0"/>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黑体" w:hAnsi="宋体" w:eastAsia="黑体" w:cs="黑体"/>
                <w:sz w:val="20"/>
                <w:szCs w:val="20"/>
                <w:bdr w:val="none" w:color="auto" w:sz="0" w:space="0"/>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黑体" w:hAnsi="宋体" w:eastAsia="黑体" w:cs="黑体"/>
                <w:sz w:val="20"/>
                <w:szCs w:val="20"/>
                <w:bdr w:val="none" w:color="auto" w:sz="0" w:space="0"/>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黑体" w:hAnsi="宋体" w:eastAsia="黑体" w:cs="黑体"/>
                <w:sz w:val="20"/>
                <w:szCs w:val="20"/>
                <w:bdr w:val="none" w:color="auto" w:sz="0" w:space="0"/>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黑体" w:hAnsi="宋体" w:eastAsia="黑体" w:cs="黑体"/>
                <w:sz w:val="20"/>
                <w:szCs w:val="20"/>
                <w:bdr w:val="none" w:color="auto" w:sz="0" w:space="0"/>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黑体" w:hAnsi="宋体" w:eastAsia="黑体" w:cs="黑体"/>
                <w:sz w:val="20"/>
                <w:szCs w:val="20"/>
                <w:bdr w:val="none" w:color="auto" w:sz="0" w:space="0"/>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黑体" w:hAnsi="宋体" w:eastAsia="黑体" w:cs="黑体"/>
                <w:sz w:val="20"/>
                <w:szCs w:val="20"/>
                <w:bdr w:val="none" w:color="auto" w:sz="0" w:space="0"/>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黑体" w:hAnsi="宋体" w:eastAsia="黑体" w:cs="黑体"/>
                <w:sz w:val="20"/>
                <w:szCs w:val="20"/>
                <w:bdr w:val="none" w:color="auto" w:sz="0" w:space="0"/>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4"/>
                <w:szCs w:val="24"/>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（一）2021年存在主要问题及改进情况：</w:t>
      </w:r>
      <w:r>
        <w:rPr>
          <w:rFonts w:hint="eastAsia" w:ascii="仿宋" w:hAnsi="仿宋" w:eastAsia="仿宋" w:cs="仿宋"/>
          <w:i w:val="0"/>
          <w:iCs w:val="0"/>
          <w:caps w:val="0"/>
          <w:color w:val="000000"/>
          <w:spacing w:val="0"/>
          <w:sz w:val="32"/>
          <w:szCs w:val="32"/>
          <w:bdr w:val="none" w:color="auto" w:sz="0" w:space="0"/>
          <w:shd w:val="clear" w:fill="FFFFFF"/>
        </w:rPr>
        <w:t>2021年我镇在政务公开工作上严格按照省、市、县要求开展，但是仍然存在一些问题。主要表现在：一是主动公开信息内容不够丰富，部分栏目缺少信息。二是信息更新不及时，存在月底和季度更新的现象。三是信息质量不高，有些栏目仅满足于有信息而未注重信息质量。针对政府信息公开存在的问题，吴家店镇本年度将政务公开纳入了年度目标责任制考评，坚持每月一统计、季度一通报，按季度召开政务公开部门协调会和调度会。同时针对最新的考核体系，对公开目录进行了调整规范，重点调整了两化领域和村务公开的目录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（二）当前存在主要问题及改进情况：</w:t>
      </w:r>
      <w:r>
        <w:rPr>
          <w:rFonts w:hint="eastAsia" w:ascii="仿宋" w:hAnsi="仿宋" w:eastAsia="仿宋" w:cs="仿宋"/>
          <w:i w:val="0"/>
          <w:iCs w:val="0"/>
          <w:caps w:val="0"/>
          <w:color w:val="000000"/>
          <w:spacing w:val="0"/>
          <w:sz w:val="32"/>
          <w:szCs w:val="32"/>
          <w:bdr w:val="none" w:color="auto" w:sz="0" w:space="0"/>
          <w:shd w:val="clear" w:fill="FFFFFF"/>
        </w:rPr>
        <w:t>当前我镇政务公开上仍然存在一些问题，主要表现在：两化领域、村务公开领域信息公开质量不高，情况说明较多，信息公开不及时，公开质量不高。吴家店镇下一步将着力于提升两化领域、村务公开领域信息公开，做到及时公开，提升公开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按照《国务院办公厅关于印发〈政府信息公开信息处理费管理办法〉的通知》（国办函〔2020〕109号）规定的按件、按量收费标准，本年度没有产生信息公开处理费</w:t>
      </w:r>
      <w:r>
        <w:rPr>
          <w:rFonts w:hint="eastAsia" w:ascii="仿宋" w:hAnsi="仿宋" w:eastAsia="仿宋" w:cs="仿宋"/>
          <w:i w:val="0"/>
          <w:iCs w:val="0"/>
          <w:caps w:val="0"/>
          <w:color w:val="000000"/>
          <w:spacing w:val="0"/>
          <w:sz w:val="32"/>
          <w:szCs w:val="3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righ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金寨县吴家店镇人民政府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0"/>
        <w:jc w:val="righ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2021年12月31日</w:t>
      </w:r>
    </w:p>
    <w:p>
      <w:pPr>
        <w:jc w:val="left"/>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jQ1MDc0ZDY0OWIxZTIwYmUxYWI4ZWEzZjI2N2QifQ=="/>
  </w:docVars>
  <w:rsids>
    <w:rsidRoot w:val="4CE302BA"/>
    <w:rsid w:val="2F861884"/>
    <w:rsid w:val="4CE30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2024-07-02T02:38:00Z</dcterms:created>
  <dc:creator>熬夜肚子饿</dc:creator>
  <cp:lastModifiedBy>熬夜肚子饿</cp:lastModifiedBy>
  <dcterms:modified xsi:type="dcterms:W3CDTF">2024-07-02T02:40:44Z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D11443C672BE42359C2599F773C7C4C3_11</vt:lpwstr>
  </property>
</Properties>
</file>