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1" w:after="0" w:afterAutospacing="1" w:line="540" w:lineRule="exact"/>
        <w:ind w:left="0" w:right="0"/>
        <w:jc w:val="center"/>
      </w:pPr>
      <w:bookmarkStart w:id="0" w:name="_GoBack"/>
      <w:r>
        <w:rPr>
          <w:rFonts w:ascii="方正小标宋简体" w:hAnsi="方正小标宋简体" w:eastAsia="方正小标宋简体" w:cs="方正小标宋简体"/>
          <w:color w:val="000000"/>
          <w:kern w:val="2"/>
          <w:sz w:val="44"/>
          <w:szCs w:val="44"/>
          <w:lang w:val="en-US" w:eastAsia="zh-CN" w:bidi="ar"/>
        </w:rPr>
        <w:t>金寨县吴家店镇人民政府</w:t>
      </w:r>
      <w:r>
        <w:rPr>
          <w:rFonts w:hint="eastAsia" w:ascii="方正小标宋简体" w:hAnsi="方正小标宋简体" w:eastAsia="方正小标宋简体" w:cs="方正小标宋简体"/>
          <w:color w:val="000000"/>
          <w:kern w:val="2"/>
          <w:sz w:val="44"/>
          <w:szCs w:val="44"/>
          <w:lang w:val="en-US" w:eastAsia="zh-CN" w:bidi="ar"/>
        </w:rPr>
        <w:t>2020年</w:t>
      </w:r>
    </w:p>
    <w:p>
      <w:pPr>
        <w:keepNext w:val="0"/>
        <w:keepLines w:val="0"/>
        <w:widowControl/>
        <w:suppressLineNumbers w:val="0"/>
        <w:spacing w:before="0" w:beforeAutospacing="1" w:after="0" w:afterAutospacing="1" w:line="540" w:lineRule="exact"/>
        <w:ind w:left="0" w:right="0"/>
        <w:jc w:val="center"/>
      </w:pPr>
      <w:r>
        <w:rPr>
          <w:rFonts w:hint="eastAsia" w:ascii="方正小标宋简体" w:hAnsi="方正小标宋简体" w:eastAsia="方正小标宋简体" w:cs="方正小标宋简体"/>
          <w:color w:val="000000"/>
          <w:kern w:val="2"/>
          <w:sz w:val="44"/>
          <w:szCs w:val="44"/>
          <w:lang w:val="en-US" w:eastAsia="zh-CN" w:bidi="ar"/>
        </w:rPr>
        <w:t>政府信息公开工作年度报告</w:t>
      </w:r>
    </w:p>
    <w:bookmarkEnd w:id="0"/>
    <w:p>
      <w:pPr>
        <w:keepNext w:val="0"/>
        <w:keepLines w:val="0"/>
        <w:widowControl/>
        <w:suppressLineNumbers w:val="0"/>
        <w:spacing w:before="0" w:beforeAutospacing="1" w:after="0" w:afterAutospacing="1" w:line="540" w:lineRule="exact"/>
        <w:ind w:left="0" w:right="0" w:firstLine="640" w:firstLineChars="200"/>
        <w:jc w:val="left"/>
      </w:pPr>
      <w:r>
        <w:rPr>
          <w:rFonts w:ascii="仿宋_GB2312" w:eastAsia="仿宋_GB2312" w:cs="仿宋_GB2312" w:hAnsiTheme="minorHAnsi"/>
          <w:color w:val="000000"/>
          <w:kern w:val="2"/>
          <w:sz w:val="32"/>
          <w:szCs w:val="32"/>
          <w:shd w:val="clear" w:fill="FFFFFF"/>
          <w:lang w:val="en-US" w:eastAsia="zh-CN" w:bidi="ar"/>
        </w:rPr>
        <w:t xml:space="preserve"> </w:t>
      </w:r>
    </w:p>
    <w:p>
      <w:pPr>
        <w:pStyle w:val="2"/>
        <w:keepNext w:val="0"/>
        <w:keepLines w:val="0"/>
        <w:widowControl/>
        <w:suppressLineNumbers w:val="0"/>
        <w:spacing w:before="0" w:beforeAutospacing="0" w:after="0" w:afterAutospacing="0"/>
        <w:ind w:left="0" w:right="0"/>
        <w:jc w:val="left"/>
        <w:rPr>
          <w:rFonts w:ascii="Calibri" w:hAnsi="Calibri" w:cs="Calibri"/>
          <w:sz w:val="21"/>
          <w:szCs w:val="21"/>
        </w:rPr>
      </w:pPr>
      <w:r>
        <w:rPr>
          <w:rFonts w:hint="eastAsia" w:ascii="仿宋" w:hAnsi="仿宋" w:eastAsia="仿宋" w:cs="仿宋"/>
          <w:sz w:val="32"/>
          <w:szCs w:val="32"/>
          <w:lang w:val="en-US" w:eastAsia="zh-CN"/>
        </w:rPr>
        <w:t xml:space="preserve">     </w:t>
      </w:r>
      <w:r>
        <w:rPr>
          <w:rFonts w:ascii="仿宋" w:hAnsi="仿宋" w:eastAsia="仿宋" w:cs="仿宋"/>
          <w:sz w:val="32"/>
          <w:szCs w:val="32"/>
        </w:rPr>
        <w:t>本报告依据《中华人民共和国政府信息公开条例》（国务院令第</w:t>
      </w:r>
      <w:r>
        <w:rPr>
          <w:rFonts w:hint="eastAsia" w:ascii="仿宋" w:hAnsi="仿宋" w:eastAsia="仿宋" w:cs="仿宋"/>
          <w:sz w:val="32"/>
          <w:szCs w:val="32"/>
        </w:rPr>
        <w:t>711号，以下简称新《条例》）、《六安市人民政府办公室关于做好政府信息公开年度报告编制工作的通知》（六政办秘〔2020〕161号）和《金寨县政务公开办公室关于做好2020年度政府信息公开年度报告编制工作的通知》（金政公开〔2021〕2号）文件要求编制而成。报告主要包括：总体情况、行政机关主动公开政府信息情况、收到和处理政府信息公开申请情况、政府信息公开行政复议及行政诉讼情况、政府信息公开工作存在的主要问题及改进情况和其他需要报告的事项。本报告中使用数据统计期限为2020年1月1日至12月31日，报告的电子版可在金寨县信息公开网（http://www.ahjinzhai.gov.cn/public/column/6597151?type=4&amp;action=list）下载。如对本报告有任何疑问，请与吴家店镇人民政府办公室联系（地址：吴家店镇人民政府二楼，电话：0564--7652002，邮编：237372）。</w:t>
      </w:r>
    </w:p>
    <w:p>
      <w:pPr>
        <w:pStyle w:val="2"/>
        <w:keepNext w:val="0"/>
        <w:keepLines w:val="0"/>
        <w:widowControl/>
        <w:suppressLineNumbers w:val="0"/>
        <w:shd w:val="clear" w:fill="FFFFFF"/>
        <w:spacing w:before="0" w:beforeAutospacing="0" w:after="0" w:afterAutospacing="0"/>
        <w:ind w:left="0" w:right="0" w:firstLine="643"/>
        <w:jc w:val="left"/>
        <w:rPr>
          <w:rFonts w:hint="default" w:ascii="Calibri" w:hAnsi="Calibri" w:cs="Calibri"/>
          <w:sz w:val="21"/>
          <w:szCs w:val="21"/>
        </w:rPr>
      </w:pPr>
      <w:r>
        <w:rPr>
          <w:rFonts w:hint="eastAsia" w:ascii="仿宋" w:hAnsi="仿宋" w:eastAsia="仿宋" w:cs="仿宋"/>
          <w:b/>
          <w:bCs/>
          <w:color w:val="333333"/>
          <w:sz w:val="32"/>
          <w:szCs w:val="32"/>
          <w:shd w:val="clear" w:fill="FFFFFF"/>
        </w:rPr>
        <w:t>一、总体情况</w:t>
      </w:r>
    </w:p>
    <w:p>
      <w:pPr>
        <w:keepNext w:val="0"/>
        <w:keepLines w:val="0"/>
        <w:widowControl/>
        <w:suppressLineNumbers w:val="0"/>
        <w:shd w:val="clear" w:fill="FFFFFF"/>
        <w:spacing w:before="0" w:beforeAutospacing="1" w:after="0" w:afterAutospacing="1"/>
        <w:ind w:left="0" w:right="0" w:firstLine="640"/>
        <w:jc w:val="left"/>
      </w:pPr>
      <w:r>
        <w:rPr>
          <w:rFonts w:ascii="楷体" w:hAnsi="楷体" w:eastAsia="楷体" w:cs="楷体"/>
          <w:color w:val="333333"/>
          <w:kern w:val="0"/>
          <w:sz w:val="32"/>
          <w:szCs w:val="32"/>
          <w:shd w:val="clear" w:fill="FFFFFF"/>
          <w:lang w:val="en-US" w:eastAsia="zh-CN" w:bidi="ar"/>
        </w:rPr>
        <w:t>一是强化主动公开。</w:t>
      </w:r>
      <w:r>
        <w:rPr>
          <w:rFonts w:hint="eastAsia" w:ascii="仿宋" w:hAnsi="仿宋" w:eastAsia="仿宋" w:cs="仿宋"/>
          <w:color w:val="333333"/>
          <w:kern w:val="0"/>
          <w:sz w:val="32"/>
          <w:szCs w:val="32"/>
          <w:shd w:val="clear" w:fill="FFFFFF"/>
          <w:lang w:val="en-US" w:eastAsia="zh-CN" w:bidi="ar"/>
        </w:rPr>
        <w:t>金寨县吴家店镇人民政府认真贯彻《条例》，进一步明确主动公开范围，规范政府信息发布流程。推进决策、执行、管理、服务和结果全过程公开，推动工作落实，集中展示信息。2020年按照上级统一部署，积极做好政府信息公开，在政府信息公开网站，主动发布信息共计1001余条。完善政府信息主动公开基本目录，重点对财政专项资金、26个政务公开标准化规范化和4个试点领域目录进行完善，并按时做好信息公开。</w:t>
      </w:r>
    </w:p>
    <w:p>
      <w:pPr>
        <w:keepNext w:val="0"/>
        <w:keepLines w:val="0"/>
        <w:widowControl/>
        <w:suppressLineNumbers w:val="0"/>
        <w:shd w:val="clear" w:fill="FFFFFF"/>
        <w:spacing w:before="0" w:beforeAutospacing="1" w:after="0" w:afterAutospacing="1"/>
        <w:ind w:left="0" w:right="0" w:firstLine="640"/>
        <w:jc w:val="left"/>
      </w:pPr>
      <w:r>
        <w:rPr>
          <w:rFonts w:hint="eastAsia" w:ascii="楷体" w:hAnsi="楷体" w:eastAsia="楷体" w:cs="楷体"/>
          <w:kern w:val="0"/>
          <w:sz w:val="32"/>
          <w:szCs w:val="32"/>
          <w:shd w:val="clear" w:fill="FFFFFF"/>
          <w:lang w:val="en-US" w:eastAsia="zh-CN" w:bidi="ar"/>
        </w:rPr>
        <w:t>二是加强组织保障。</w:t>
      </w:r>
      <w:r>
        <w:rPr>
          <w:rFonts w:hint="eastAsia" w:ascii="仿宋" w:hAnsi="仿宋" w:eastAsia="仿宋" w:cs="仿宋"/>
          <w:kern w:val="0"/>
          <w:sz w:val="32"/>
          <w:szCs w:val="32"/>
          <w:shd w:val="clear" w:fill="FFFFFF"/>
          <w:lang w:val="en-US" w:eastAsia="zh-CN" w:bidi="ar"/>
        </w:rPr>
        <w:t>2020年我镇设立政府信息公开领导小组，统筹协调落实我镇的政府信息公开工作，并取得了一定成效。及时发布和审核公开信息，做到信息发布全面、准确、有效，符合实际工作。吴家店镇主要通过两种方式公开政府信息。在吴家店镇政府及各村（社区）设有公开栏，主动公开各类政府信息。利用吴家店镇政府信息公开平台和为民服务大厅集中公开，我镇政府信息平台管理和运行由专人负责，并明确工作人员职责，保障网站正常运行和网站安全，另外还采用摆放展板、发放传单等形式，向前来办事的群众公开最新政策。</w:t>
      </w:r>
    </w:p>
    <w:p>
      <w:pPr>
        <w:keepNext w:val="0"/>
        <w:keepLines w:val="0"/>
        <w:widowControl/>
        <w:suppressLineNumbers w:val="0"/>
        <w:shd w:val="clear" w:fill="FFFFFF"/>
        <w:spacing w:before="0" w:beforeAutospacing="1" w:after="0" w:afterAutospacing="1"/>
        <w:ind w:left="0" w:right="0" w:firstLine="640"/>
        <w:jc w:val="left"/>
      </w:pPr>
      <w:r>
        <w:rPr>
          <w:rFonts w:hint="eastAsia" w:ascii="楷体" w:hAnsi="楷体" w:eastAsia="楷体" w:cs="楷体"/>
          <w:color w:val="333333"/>
          <w:kern w:val="0"/>
          <w:sz w:val="32"/>
          <w:szCs w:val="32"/>
          <w:shd w:val="clear" w:fill="FFFFFF"/>
          <w:lang w:val="en-US" w:eastAsia="zh-CN" w:bidi="ar"/>
        </w:rPr>
        <w:t>三是健全监督机制。</w:t>
      </w:r>
      <w:r>
        <w:rPr>
          <w:rFonts w:hint="eastAsia" w:ascii="仿宋" w:hAnsi="仿宋" w:eastAsia="仿宋" w:cs="Calibri"/>
          <w:color w:val="333333"/>
          <w:kern w:val="0"/>
          <w:sz w:val="32"/>
          <w:szCs w:val="32"/>
          <w:shd w:val="clear" w:fill="FFFFFF"/>
          <w:lang w:val="en-US" w:eastAsia="zh-CN" w:bidi="ar"/>
        </w:rPr>
        <w:t>2020</w:t>
      </w:r>
      <w:r>
        <w:rPr>
          <w:rFonts w:hint="eastAsia" w:ascii="仿宋" w:hAnsi="仿宋" w:eastAsia="仿宋" w:cs="仿宋"/>
          <w:color w:val="333333"/>
          <w:kern w:val="0"/>
          <w:sz w:val="32"/>
          <w:szCs w:val="32"/>
          <w:shd w:val="clear" w:fill="FFFFFF"/>
          <w:lang w:val="en-US" w:eastAsia="zh-CN" w:bidi="ar"/>
        </w:rPr>
        <w:t>年我镇组织了政府各办、各镇直单位业务人员共同学习了《中华人民共和国政府信息公开条例》，要求各办、镇直各单位安排专人定期上报信息，确保各类政府信息及时公开。同时严格按照有关规定，建立健全政务公开监督制约机制，明确政务公开工作责任，对各部门、各村信息上传进行审核，及时更新政务信息，提高公开质量和公开实效。</w:t>
      </w:r>
    </w:p>
    <w:p>
      <w:pPr>
        <w:pStyle w:val="2"/>
        <w:keepNext w:val="0"/>
        <w:keepLines w:val="0"/>
        <w:widowControl/>
        <w:suppressLineNumbers w:val="0"/>
        <w:shd w:val="clear" w:fill="FFFFFF"/>
        <w:spacing w:before="0" w:beforeAutospacing="0" w:after="0" w:afterAutospacing="0"/>
        <w:ind w:left="0" w:right="0" w:firstLine="643"/>
        <w:jc w:val="left"/>
        <w:rPr>
          <w:rFonts w:hint="default" w:ascii="Calibri" w:hAnsi="Calibri" w:cs="Calibri"/>
          <w:sz w:val="21"/>
          <w:szCs w:val="21"/>
        </w:rPr>
      </w:pPr>
      <w:r>
        <w:rPr>
          <w:rFonts w:hint="eastAsia" w:ascii="仿宋" w:hAnsi="仿宋" w:eastAsia="仿宋" w:cs="仿宋"/>
          <w:b/>
          <w:bCs/>
          <w:color w:val="333333"/>
          <w:sz w:val="32"/>
          <w:szCs w:val="32"/>
          <w:shd w:val="clear" w:fill="FFFFFF"/>
        </w:rPr>
        <w:t>二、主动公开政府信息情况</w:t>
      </w:r>
    </w:p>
    <w:tbl>
      <w:tblP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3113"/>
        <w:gridCol w:w="1875"/>
        <w:gridCol w:w="6"/>
        <w:gridCol w:w="1265"/>
        <w:gridCol w:w="18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95" w:hRule="atLeast"/>
          <w:jc w:val="center"/>
        </w:trPr>
        <w:tc>
          <w:tcPr>
            <w:tcW w:w="8140" w:type="dxa"/>
            <w:gridSpan w:val="5"/>
            <w:tcBorders>
              <w:top w:val="single" w:color="auto" w:sz="8" w:space="0"/>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第二十条第（一）项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882" w:hRule="atLeast"/>
          <w:jc w:val="center"/>
        </w:trPr>
        <w:tc>
          <w:tcPr>
            <w:tcW w:w="311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信息内容</w:t>
            </w:r>
          </w:p>
        </w:tc>
        <w:tc>
          <w:tcPr>
            <w:tcW w:w="187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本年新</w:t>
            </w:r>
            <w:r>
              <w:rPr>
                <w:rFonts w:hint="default" w:ascii="Times New Roman" w:hAnsi="Times New Roman" w:cs="Times New Roman"/>
                <w:color w:val="000000"/>
                <w:sz w:val="20"/>
                <w:szCs w:val="20"/>
              </w:rPr>
              <w:br w:type="textWrapping"/>
            </w:r>
            <w:r>
              <w:rPr>
                <w:rFonts w:hint="default" w:ascii="Times New Roman" w:hAnsi="Times New Roman" w:cs="Times New Roman"/>
                <w:sz w:val="20"/>
                <w:szCs w:val="20"/>
              </w:rPr>
              <w:t>制作数量</w:t>
            </w:r>
          </w:p>
        </w:tc>
        <w:tc>
          <w:tcPr>
            <w:tcW w:w="1271" w:type="dxa"/>
            <w:gridSpan w:val="2"/>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本年新</w:t>
            </w:r>
            <w:r>
              <w:rPr>
                <w:rFonts w:hint="default" w:ascii="Times New Roman" w:hAnsi="Times New Roman" w:cs="Times New Roman"/>
                <w:color w:val="000000"/>
                <w:sz w:val="20"/>
                <w:szCs w:val="20"/>
              </w:rPr>
              <w:br w:type="textWrapping"/>
            </w:r>
            <w:r>
              <w:rPr>
                <w:rFonts w:hint="default" w:ascii="Times New Roman" w:hAnsi="Times New Roman" w:cs="Times New Roman"/>
                <w:sz w:val="20"/>
                <w:szCs w:val="20"/>
              </w:rPr>
              <w:t>公开数量</w:t>
            </w:r>
          </w:p>
        </w:tc>
        <w:tc>
          <w:tcPr>
            <w:tcW w:w="188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对外公开总数量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3" w:hRule="atLeast"/>
          <w:jc w:val="center"/>
        </w:trPr>
        <w:tc>
          <w:tcPr>
            <w:tcW w:w="311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规章</w:t>
            </w:r>
          </w:p>
        </w:tc>
        <w:tc>
          <w:tcPr>
            <w:tcW w:w="187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000000"/>
                <w:sz w:val="20"/>
                <w:szCs w:val="20"/>
              </w:rPr>
              <w:t>0</w:t>
            </w:r>
          </w:p>
        </w:tc>
        <w:tc>
          <w:tcPr>
            <w:tcW w:w="1271"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000000"/>
                <w:sz w:val="20"/>
                <w:szCs w:val="20"/>
              </w:rPr>
              <w:t>0</w:t>
            </w:r>
          </w:p>
        </w:tc>
        <w:tc>
          <w:tcPr>
            <w:tcW w:w="188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71" w:hRule="atLeast"/>
          <w:jc w:val="center"/>
        </w:trPr>
        <w:tc>
          <w:tcPr>
            <w:tcW w:w="311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规范性文件</w:t>
            </w:r>
          </w:p>
        </w:tc>
        <w:tc>
          <w:tcPr>
            <w:tcW w:w="187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4"/>
                <w:szCs w:val="24"/>
              </w:rPr>
              <w:t>0</w:t>
            </w:r>
          </w:p>
        </w:tc>
        <w:tc>
          <w:tcPr>
            <w:tcW w:w="1271"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4"/>
                <w:szCs w:val="24"/>
              </w:rPr>
              <w:t>0</w:t>
            </w:r>
          </w:p>
        </w:tc>
        <w:tc>
          <w:tcPr>
            <w:tcW w:w="188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80"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第二十条第（五）项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信息内容</w:t>
            </w:r>
          </w:p>
        </w:tc>
        <w:tc>
          <w:tcPr>
            <w:tcW w:w="187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上一年项目数量</w:t>
            </w:r>
          </w:p>
        </w:tc>
        <w:tc>
          <w:tcPr>
            <w:tcW w:w="1271" w:type="dxa"/>
            <w:gridSpan w:val="2"/>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本年增/</w:t>
            </w:r>
            <w:r>
              <w:rPr>
                <w:rFonts w:hint="eastAsia" w:ascii="仿宋" w:hAnsi="仿宋" w:eastAsia="仿宋" w:cs="仿宋"/>
                <w:color w:val="000000"/>
                <w:sz w:val="20"/>
                <w:szCs w:val="20"/>
              </w:rPr>
              <w:t>减</w:t>
            </w:r>
          </w:p>
        </w:tc>
        <w:tc>
          <w:tcPr>
            <w:tcW w:w="188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28" w:hRule="atLeast"/>
          <w:jc w:val="center"/>
        </w:trPr>
        <w:tc>
          <w:tcPr>
            <w:tcW w:w="311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行政许可</w:t>
            </w:r>
          </w:p>
        </w:tc>
        <w:tc>
          <w:tcPr>
            <w:tcW w:w="1881"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000000"/>
                <w:sz w:val="20"/>
                <w:szCs w:val="20"/>
              </w:rPr>
              <w:t>5</w:t>
            </w:r>
          </w:p>
        </w:tc>
        <w:tc>
          <w:tcPr>
            <w:tcW w:w="126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000000"/>
                <w:sz w:val="20"/>
                <w:szCs w:val="20"/>
              </w:rPr>
              <w:t>0</w:t>
            </w:r>
          </w:p>
        </w:tc>
        <w:tc>
          <w:tcPr>
            <w:tcW w:w="188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000000"/>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50" w:hRule="atLeast"/>
          <w:jc w:val="center"/>
        </w:trPr>
        <w:tc>
          <w:tcPr>
            <w:tcW w:w="311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其他对外管理服务事项</w:t>
            </w:r>
          </w:p>
        </w:tc>
        <w:tc>
          <w:tcPr>
            <w:tcW w:w="1881"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000000"/>
                <w:sz w:val="20"/>
                <w:szCs w:val="20"/>
              </w:rPr>
              <w:t>148</w:t>
            </w:r>
          </w:p>
        </w:tc>
        <w:tc>
          <w:tcPr>
            <w:tcW w:w="126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000000"/>
                <w:sz w:val="20"/>
                <w:szCs w:val="20"/>
              </w:rPr>
              <w:t>0</w:t>
            </w:r>
          </w:p>
        </w:tc>
        <w:tc>
          <w:tcPr>
            <w:tcW w:w="188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000000"/>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第二十条第（六）项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634" w:hRule="atLeast"/>
          <w:jc w:val="center"/>
        </w:trPr>
        <w:tc>
          <w:tcPr>
            <w:tcW w:w="311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信息内容</w:t>
            </w:r>
          </w:p>
        </w:tc>
        <w:tc>
          <w:tcPr>
            <w:tcW w:w="187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上一年项目数量</w:t>
            </w:r>
          </w:p>
        </w:tc>
        <w:tc>
          <w:tcPr>
            <w:tcW w:w="1271" w:type="dxa"/>
            <w:gridSpan w:val="2"/>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本年增/</w:t>
            </w:r>
            <w:r>
              <w:rPr>
                <w:rFonts w:hint="eastAsia" w:ascii="仿宋" w:hAnsi="仿宋" w:eastAsia="仿宋" w:cs="仿宋"/>
                <w:color w:val="000000"/>
                <w:sz w:val="20"/>
                <w:szCs w:val="20"/>
              </w:rPr>
              <w:t>减</w:t>
            </w:r>
          </w:p>
        </w:tc>
        <w:tc>
          <w:tcPr>
            <w:tcW w:w="188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处理决定数量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30" w:hRule="atLeast"/>
          <w:jc w:val="center"/>
        </w:trPr>
        <w:tc>
          <w:tcPr>
            <w:tcW w:w="311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行政处罚</w:t>
            </w:r>
          </w:p>
        </w:tc>
        <w:tc>
          <w:tcPr>
            <w:tcW w:w="1881"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000000"/>
                <w:sz w:val="20"/>
                <w:szCs w:val="20"/>
              </w:rPr>
              <w:t>5</w:t>
            </w:r>
          </w:p>
        </w:tc>
        <w:tc>
          <w:tcPr>
            <w:tcW w:w="126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000000"/>
                <w:sz w:val="20"/>
                <w:szCs w:val="20"/>
              </w:rPr>
              <w:t>0</w:t>
            </w:r>
          </w:p>
        </w:tc>
        <w:tc>
          <w:tcPr>
            <w:tcW w:w="188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000000"/>
                <w:sz w:val="20"/>
                <w:szCs w:val="20"/>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09" w:hRule="atLeast"/>
          <w:jc w:val="center"/>
        </w:trPr>
        <w:tc>
          <w:tcPr>
            <w:tcW w:w="311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行政强制</w:t>
            </w:r>
          </w:p>
        </w:tc>
        <w:tc>
          <w:tcPr>
            <w:tcW w:w="1881"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000000"/>
                <w:sz w:val="20"/>
                <w:szCs w:val="20"/>
              </w:rPr>
              <w:t>6</w:t>
            </w:r>
          </w:p>
        </w:tc>
        <w:tc>
          <w:tcPr>
            <w:tcW w:w="126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000000"/>
                <w:sz w:val="20"/>
                <w:szCs w:val="20"/>
              </w:rPr>
              <w:t>0</w:t>
            </w:r>
          </w:p>
        </w:tc>
        <w:tc>
          <w:tcPr>
            <w:tcW w:w="188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000000"/>
                <w:sz w:val="20"/>
                <w:szCs w:val="20"/>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74"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第二十条第（八）项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270" w:hRule="atLeast"/>
          <w:jc w:val="center"/>
        </w:trPr>
        <w:tc>
          <w:tcPr>
            <w:tcW w:w="311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信息内容</w:t>
            </w:r>
          </w:p>
        </w:tc>
        <w:tc>
          <w:tcPr>
            <w:tcW w:w="1881"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上一年项目数量</w:t>
            </w:r>
          </w:p>
        </w:tc>
        <w:tc>
          <w:tcPr>
            <w:tcW w:w="3146" w:type="dxa"/>
            <w:gridSpan w:val="2"/>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本年增/</w:t>
            </w:r>
            <w:r>
              <w:rPr>
                <w:rFonts w:hint="eastAsia" w:ascii="仿宋" w:hAnsi="仿宋" w:eastAsia="仿宋" w:cs="仿宋"/>
                <w:color w:val="000000"/>
                <w:sz w:val="20"/>
                <w:szCs w:val="20"/>
              </w:rPr>
              <w:t>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51" w:hRule="atLeast"/>
          <w:jc w:val="center"/>
        </w:trPr>
        <w:tc>
          <w:tcPr>
            <w:tcW w:w="311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行政事业性收费</w:t>
            </w:r>
          </w:p>
        </w:tc>
        <w:tc>
          <w:tcPr>
            <w:tcW w:w="1881"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4"/>
                <w:szCs w:val="24"/>
              </w:rPr>
              <w:t>2</w:t>
            </w:r>
          </w:p>
        </w:tc>
        <w:tc>
          <w:tcPr>
            <w:tcW w:w="3146"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4"/>
                <w:szCs w:val="24"/>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476" w:hRule="atLeast"/>
          <w:jc w:val="center"/>
        </w:trPr>
        <w:tc>
          <w:tcPr>
            <w:tcW w:w="8140" w:type="dxa"/>
            <w:gridSpan w:val="5"/>
            <w:tcBorders>
              <w:top w:val="nil"/>
              <w:left w:val="single" w:color="auto" w:sz="8" w:space="0"/>
              <w:bottom w:val="single" w:color="auto" w:sz="8" w:space="0"/>
              <w:right w:val="single" w:color="auto" w:sz="8" w:space="0"/>
            </w:tcBorders>
            <w:shd w:val="clear" w:color="auto" w:fill="C6D9F1"/>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第二十条第（九）项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85" w:hRule="atLeast"/>
          <w:jc w:val="center"/>
        </w:trPr>
        <w:tc>
          <w:tcPr>
            <w:tcW w:w="311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信息内容</w:t>
            </w:r>
          </w:p>
        </w:tc>
        <w:tc>
          <w:tcPr>
            <w:tcW w:w="1881"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采购项目数量</w:t>
            </w:r>
          </w:p>
        </w:tc>
        <w:tc>
          <w:tcPr>
            <w:tcW w:w="3146" w:type="dxa"/>
            <w:gridSpan w:val="2"/>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采购总金额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trHeight w:val="539" w:hRule="atLeast"/>
          <w:jc w:val="center"/>
        </w:trPr>
        <w:tc>
          <w:tcPr>
            <w:tcW w:w="3113"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政府集中采购</w:t>
            </w:r>
          </w:p>
        </w:tc>
        <w:tc>
          <w:tcPr>
            <w:tcW w:w="1881"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4"/>
                <w:szCs w:val="24"/>
              </w:rPr>
              <w:t>10</w:t>
            </w:r>
          </w:p>
        </w:tc>
        <w:tc>
          <w:tcPr>
            <w:tcW w:w="3146"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4"/>
                <w:szCs w:val="24"/>
              </w:rPr>
              <w:t>240000</w:t>
            </w:r>
          </w:p>
        </w:tc>
      </w:tr>
    </w:tbl>
    <w:p>
      <w:pPr>
        <w:pStyle w:val="2"/>
        <w:keepNext w:val="0"/>
        <w:keepLines w:val="0"/>
        <w:widowControl/>
        <w:suppressLineNumbers w:val="0"/>
        <w:shd w:val="clear" w:fill="FFFFFF"/>
        <w:spacing w:before="0" w:beforeAutospacing="0" w:after="240" w:afterAutospacing="0"/>
        <w:ind w:left="0" w:right="0"/>
        <w:jc w:val="both"/>
        <w:rPr>
          <w:rFonts w:hint="default" w:ascii="Calibri" w:hAnsi="Calibri" w:cs="Calibri"/>
          <w:sz w:val="21"/>
          <w:szCs w:val="21"/>
        </w:rPr>
      </w:pPr>
      <w:r>
        <w:rPr>
          <w:rFonts w:hint="eastAsia" w:ascii="仿宋" w:hAnsi="仿宋" w:eastAsia="仿宋" w:cs="仿宋"/>
          <w:b/>
          <w:bCs/>
          <w:color w:val="333333"/>
          <w:sz w:val="32"/>
          <w:szCs w:val="32"/>
          <w:shd w:val="clear" w:fill="FFFFFF"/>
        </w:rPr>
        <w:t>三、收到和处理政府信息公开申请情况</w:t>
      </w:r>
    </w:p>
    <w:tbl>
      <w:tblPr>
        <w:tblW w:w="907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617"/>
        <w:gridCol w:w="854"/>
        <w:gridCol w:w="2300"/>
        <w:gridCol w:w="599"/>
        <w:gridCol w:w="755"/>
        <w:gridCol w:w="755"/>
        <w:gridCol w:w="813"/>
        <w:gridCol w:w="973"/>
        <w:gridCol w:w="711"/>
        <w:gridCol w:w="69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771" w:type="dxa"/>
            <w:gridSpan w:val="3"/>
            <w:vMerge w:val="restart"/>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（本列数据的勾稽关系为：第一项加第二项之和，等于第三项加第四项之和）</w:t>
            </w:r>
          </w:p>
        </w:tc>
        <w:tc>
          <w:tcPr>
            <w:tcW w:w="5300" w:type="dxa"/>
            <w:gridSpan w:val="7"/>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申请人情况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771" w:type="dxa"/>
            <w:gridSpan w:val="3"/>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599"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自然人</w:t>
            </w:r>
          </w:p>
        </w:tc>
        <w:tc>
          <w:tcPr>
            <w:tcW w:w="4007" w:type="dxa"/>
            <w:gridSpan w:val="5"/>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法人或其他组织</w:t>
            </w:r>
          </w:p>
        </w:tc>
        <w:tc>
          <w:tcPr>
            <w:tcW w:w="694"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1" w:hRule="atLeast"/>
          <w:jc w:val="center"/>
        </w:trPr>
        <w:tc>
          <w:tcPr>
            <w:tcW w:w="3771" w:type="dxa"/>
            <w:gridSpan w:val="3"/>
            <w:vMerge w:val="continue"/>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599"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商业企业</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科研机构</w:t>
            </w:r>
          </w:p>
        </w:tc>
        <w:tc>
          <w:tcPr>
            <w:tcW w:w="813"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社会公益组织</w:t>
            </w:r>
          </w:p>
        </w:tc>
        <w:tc>
          <w:tcPr>
            <w:tcW w:w="973"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法律服务机构</w:t>
            </w:r>
          </w:p>
        </w:tc>
        <w:tc>
          <w:tcPr>
            <w:tcW w:w="711"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其他</w:t>
            </w:r>
          </w:p>
        </w:tc>
        <w:tc>
          <w:tcPr>
            <w:tcW w:w="694"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771" w:type="dxa"/>
            <w:gridSpan w:val="3"/>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一、本年新收政府信息公开申请数量</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771" w:type="dxa"/>
            <w:gridSpan w:val="3"/>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二、上年结转政府信息公开申请数量</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17"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三、本年度办理结果</w:t>
            </w:r>
          </w:p>
        </w:tc>
        <w:tc>
          <w:tcPr>
            <w:tcW w:w="3154"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（一）予以公开</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61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3154"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（二）部分公开（区分处理的，只计这一情形，不计其他情形）</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1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854"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（三）不予公开</w:t>
            </w:r>
          </w:p>
        </w:tc>
        <w:tc>
          <w:tcPr>
            <w:tcW w:w="23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1.</w:t>
            </w:r>
            <w:r>
              <w:rPr>
                <w:rFonts w:hint="eastAsia" w:ascii="楷体" w:hAnsi="楷体" w:eastAsia="楷体" w:cs="楷体"/>
                <w:sz w:val="20"/>
                <w:szCs w:val="20"/>
              </w:rPr>
              <w:t>属于国家秘密</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61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23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2.</w:t>
            </w:r>
            <w:r>
              <w:rPr>
                <w:rFonts w:hint="eastAsia" w:ascii="楷体" w:hAnsi="楷体" w:eastAsia="楷体" w:cs="楷体"/>
                <w:sz w:val="20"/>
                <w:szCs w:val="20"/>
              </w:rPr>
              <w:t>其他法律行政法规禁止公开</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61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23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3.</w:t>
            </w:r>
            <w:r>
              <w:rPr>
                <w:rFonts w:hint="eastAsia" w:ascii="楷体" w:hAnsi="楷体" w:eastAsia="楷体" w:cs="楷体"/>
                <w:sz w:val="20"/>
                <w:szCs w:val="20"/>
              </w:rPr>
              <w:t>危及</w:t>
            </w:r>
            <w:r>
              <w:rPr>
                <w:rFonts w:hint="default" w:ascii="Times New Roman" w:hAnsi="Times New Roman" w:cs="Times New Roman"/>
                <w:sz w:val="20"/>
                <w:szCs w:val="20"/>
              </w:rPr>
              <w:t>“</w:t>
            </w:r>
            <w:r>
              <w:rPr>
                <w:rFonts w:hint="eastAsia" w:ascii="楷体" w:hAnsi="楷体" w:eastAsia="楷体" w:cs="楷体"/>
                <w:sz w:val="20"/>
                <w:szCs w:val="20"/>
              </w:rPr>
              <w:t>三安全一稳定</w:t>
            </w:r>
            <w:r>
              <w:rPr>
                <w:rFonts w:hint="default" w:ascii="Times New Roman" w:hAnsi="Times New Roman" w:cs="Times New Roman"/>
                <w:sz w:val="20"/>
                <w:szCs w:val="20"/>
              </w:rPr>
              <w:t>”</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1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23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4.</w:t>
            </w:r>
            <w:r>
              <w:rPr>
                <w:rFonts w:hint="eastAsia" w:ascii="楷体" w:hAnsi="楷体" w:eastAsia="楷体" w:cs="楷体"/>
                <w:sz w:val="20"/>
                <w:szCs w:val="20"/>
              </w:rPr>
              <w:t>保护第三方合法权益</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1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23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5.</w:t>
            </w:r>
            <w:r>
              <w:rPr>
                <w:rFonts w:hint="eastAsia" w:ascii="楷体" w:hAnsi="楷体" w:eastAsia="楷体" w:cs="楷体"/>
                <w:sz w:val="20"/>
                <w:szCs w:val="20"/>
              </w:rPr>
              <w:t>属于三类内部事务信息</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1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23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6.</w:t>
            </w:r>
            <w:r>
              <w:rPr>
                <w:rFonts w:hint="eastAsia" w:ascii="楷体" w:hAnsi="楷体" w:eastAsia="楷体" w:cs="楷体"/>
                <w:sz w:val="20"/>
                <w:szCs w:val="20"/>
              </w:rPr>
              <w:t>属于四类过程性信息</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61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23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7.</w:t>
            </w:r>
            <w:r>
              <w:rPr>
                <w:rFonts w:hint="eastAsia" w:ascii="楷体" w:hAnsi="楷体" w:eastAsia="楷体" w:cs="楷体"/>
                <w:sz w:val="20"/>
                <w:szCs w:val="20"/>
              </w:rPr>
              <w:t>属于行政执法案卷</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1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23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8.</w:t>
            </w:r>
            <w:r>
              <w:rPr>
                <w:rFonts w:hint="eastAsia" w:ascii="楷体" w:hAnsi="楷体" w:eastAsia="楷体" w:cs="楷体"/>
                <w:sz w:val="20"/>
                <w:szCs w:val="20"/>
              </w:rPr>
              <w:t>属于行政查询事项</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1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854"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（四）无法提供</w:t>
            </w:r>
          </w:p>
        </w:tc>
        <w:tc>
          <w:tcPr>
            <w:tcW w:w="23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1.</w:t>
            </w:r>
            <w:r>
              <w:rPr>
                <w:rFonts w:hint="eastAsia" w:ascii="楷体" w:hAnsi="楷体" w:eastAsia="楷体" w:cs="楷体"/>
                <w:sz w:val="20"/>
                <w:szCs w:val="20"/>
              </w:rPr>
              <w:t>本机关不掌握相关政府信息</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1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23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2.</w:t>
            </w:r>
            <w:r>
              <w:rPr>
                <w:rFonts w:hint="eastAsia" w:ascii="楷体" w:hAnsi="楷体" w:eastAsia="楷体" w:cs="楷体"/>
                <w:sz w:val="20"/>
                <w:szCs w:val="20"/>
              </w:rPr>
              <w:t>没有现成信息需要另行制作</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61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23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3.</w:t>
            </w:r>
            <w:r>
              <w:rPr>
                <w:rFonts w:hint="eastAsia" w:ascii="楷体" w:hAnsi="楷体" w:eastAsia="楷体" w:cs="楷体"/>
                <w:sz w:val="20"/>
                <w:szCs w:val="20"/>
              </w:rPr>
              <w:t>补正后申请内容仍不明确</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61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854"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（五）不予处理</w:t>
            </w:r>
          </w:p>
        </w:tc>
        <w:tc>
          <w:tcPr>
            <w:tcW w:w="23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1.</w:t>
            </w:r>
            <w:r>
              <w:rPr>
                <w:rFonts w:hint="eastAsia" w:ascii="楷体" w:hAnsi="楷体" w:eastAsia="楷体" w:cs="楷体"/>
                <w:sz w:val="20"/>
                <w:szCs w:val="20"/>
              </w:rPr>
              <w:t>信访举报投诉类申请</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1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23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2.</w:t>
            </w:r>
            <w:r>
              <w:rPr>
                <w:rFonts w:hint="eastAsia" w:ascii="楷体" w:hAnsi="楷体" w:eastAsia="楷体" w:cs="楷体"/>
                <w:sz w:val="20"/>
                <w:szCs w:val="20"/>
              </w:rPr>
              <w:t>重复申请</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1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23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3.</w:t>
            </w:r>
            <w:r>
              <w:rPr>
                <w:rFonts w:hint="eastAsia" w:ascii="楷体" w:hAnsi="楷体" w:eastAsia="楷体" w:cs="楷体"/>
                <w:sz w:val="20"/>
                <w:szCs w:val="20"/>
              </w:rPr>
              <w:t>要求提供公开出版物</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1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23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4.</w:t>
            </w:r>
            <w:r>
              <w:rPr>
                <w:rFonts w:hint="eastAsia" w:ascii="楷体" w:hAnsi="楷体" w:eastAsia="楷体" w:cs="楷体"/>
                <w:sz w:val="20"/>
                <w:szCs w:val="20"/>
              </w:rPr>
              <w:t>无正当理由大量反复申请</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1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85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230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5.</w:t>
            </w:r>
            <w:r>
              <w:rPr>
                <w:rFonts w:hint="eastAsia" w:ascii="楷体" w:hAnsi="楷体" w:eastAsia="楷体" w:cs="楷体"/>
                <w:sz w:val="20"/>
                <w:szCs w:val="20"/>
              </w:rPr>
              <w:t>要求行政机关确认或重新出具已获取信息</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61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3154"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（六）其他处理</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617"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3154" w:type="dxa"/>
            <w:gridSpan w:val="2"/>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（七）总计</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jc w:val="center"/>
        </w:trPr>
        <w:tc>
          <w:tcPr>
            <w:tcW w:w="3771" w:type="dxa"/>
            <w:gridSpan w:val="3"/>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both"/>
              <w:rPr>
                <w:rFonts w:hint="default" w:ascii="Calibri" w:hAnsi="Calibri" w:cs="Calibri"/>
                <w:sz w:val="21"/>
                <w:szCs w:val="21"/>
              </w:rPr>
            </w:pPr>
            <w:r>
              <w:rPr>
                <w:rFonts w:hint="default" w:ascii="Times New Roman" w:hAnsi="Times New Roman" w:cs="Times New Roman"/>
                <w:sz w:val="20"/>
                <w:szCs w:val="20"/>
              </w:rPr>
              <w:t>四、结转下年度继续办理</w:t>
            </w:r>
          </w:p>
        </w:tc>
        <w:tc>
          <w:tcPr>
            <w:tcW w:w="599"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5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81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973"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711"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9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r>
    </w:tbl>
    <w:p>
      <w:pPr>
        <w:pStyle w:val="2"/>
        <w:keepNext w:val="0"/>
        <w:keepLines w:val="0"/>
        <w:widowControl/>
        <w:suppressLineNumbers w:val="0"/>
        <w:shd w:val="clear" w:fill="FFFFFF"/>
        <w:spacing w:before="0" w:beforeAutospacing="0" w:after="0" w:afterAutospacing="0"/>
        <w:ind w:left="0" w:right="0"/>
        <w:jc w:val="both"/>
        <w:rPr>
          <w:rFonts w:hint="default" w:ascii="Calibri" w:hAnsi="Calibri" w:cs="Calibri"/>
          <w:sz w:val="21"/>
          <w:szCs w:val="21"/>
        </w:rPr>
      </w:pPr>
      <w:r>
        <w:rPr>
          <w:rFonts w:hint="default" w:ascii="Calibri" w:hAnsi="Calibri" w:cs="Calibri"/>
          <w:sz w:val="21"/>
          <w:szCs w:val="21"/>
          <w:shd w:val="clear" w:fill="FFFFFF"/>
        </w:rPr>
        <w:t> </w:t>
      </w:r>
    </w:p>
    <w:p>
      <w:pPr>
        <w:pStyle w:val="2"/>
        <w:keepNext w:val="0"/>
        <w:keepLines w:val="0"/>
        <w:widowControl/>
        <w:suppressLineNumbers w:val="0"/>
        <w:shd w:val="clear" w:fill="FFFFFF"/>
        <w:spacing w:before="0" w:beforeAutospacing="0" w:after="0" w:afterAutospacing="0"/>
        <w:ind w:left="0" w:right="0"/>
        <w:jc w:val="both"/>
        <w:rPr>
          <w:rFonts w:hint="default" w:ascii="Calibri" w:hAnsi="Calibri" w:cs="Calibri"/>
          <w:sz w:val="21"/>
          <w:szCs w:val="21"/>
        </w:rPr>
      </w:pPr>
      <w:r>
        <w:rPr>
          <w:rFonts w:hint="eastAsia" w:ascii="仿宋" w:hAnsi="仿宋" w:eastAsia="仿宋" w:cs="仿宋"/>
          <w:b/>
          <w:bCs/>
          <w:color w:val="333333"/>
          <w:sz w:val="32"/>
          <w:szCs w:val="32"/>
          <w:shd w:val="clear" w:fill="FFFFFF"/>
        </w:rPr>
        <w:t>四、政府信息公开行政复议、行政诉讼情况</w:t>
      </w:r>
    </w:p>
    <w:p>
      <w:pPr>
        <w:pStyle w:val="2"/>
        <w:keepNext w:val="0"/>
        <w:keepLines w:val="0"/>
        <w:widowControl/>
        <w:suppressLineNumbers w:val="0"/>
        <w:shd w:val="clear" w:fill="FFFFFF"/>
        <w:spacing w:before="0" w:beforeAutospacing="0" w:after="0" w:afterAutospacing="0"/>
        <w:ind w:left="0" w:right="0" w:firstLine="480"/>
        <w:jc w:val="both"/>
        <w:rPr>
          <w:rFonts w:hint="default" w:ascii="Calibri" w:hAnsi="Calibri" w:cs="Calibri"/>
          <w:sz w:val="21"/>
          <w:szCs w:val="21"/>
        </w:rPr>
      </w:pPr>
      <w:r>
        <w:rPr>
          <w:rFonts w:hint="default" w:ascii="Calibri" w:hAnsi="Calibri" w:cs="Calibri"/>
          <w:sz w:val="21"/>
          <w:szCs w:val="21"/>
          <w:shd w:val="clear" w:fill="FFFFFF"/>
        </w:rPr>
        <w:t> </w:t>
      </w:r>
    </w:p>
    <w:tbl>
      <w:tblPr>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15" w:type="dxa"/>
          <w:left w:w="15" w:type="dxa"/>
          <w:bottom w:w="15" w:type="dxa"/>
          <w:right w:w="15"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3074" w:type="dxa"/>
            <w:gridSpan w:val="5"/>
            <w:tcBorders>
              <w:top w:val="single" w:color="auto" w:sz="8" w:space="0"/>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行政诉讼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604" w:type="dxa"/>
            <w:vMerge w:val="restart"/>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结果维持</w:t>
            </w:r>
          </w:p>
        </w:tc>
        <w:tc>
          <w:tcPr>
            <w:tcW w:w="604" w:type="dxa"/>
            <w:vMerge w:val="restart"/>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尚未审结</w:t>
            </w:r>
          </w:p>
        </w:tc>
        <w:tc>
          <w:tcPr>
            <w:tcW w:w="658" w:type="dxa"/>
            <w:vMerge w:val="restart"/>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总计</w:t>
            </w:r>
          </w:p>
        </w:tc>
        <w:tc>
          <w:tcPr>
            <w:tcW w:w="2970" w:type="dxa"/>
            <w:gridSpan w:val="5"/>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复议后起诉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604" w:type="dxa"/>
            <w:vMerge w:val="continue"/>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604" w:type="dxa"/>
            <w:vMerge w:val="continue"/>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604"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604"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658" w:type="dxa"/>
            <w:vMerge w:val="continue"/>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rPr>
                <w:rFonts w:hint="default" w:ascii="Times New Roman" w:hAnsi="Times New Roman" w:cs="Times New Roman"/>
                <w:sz w:val="20"/>
                <w:szCs w:val="20"/>
              </w:rPr>
            </w:pPr>
          </w:p>
        </w:tc>
        <w:tc>
          <w:tcPr>
            <w:tcW w:w="5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结果维持</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结果纠正</w:t>
            </w:r>
          </w:p>
        </w:tc>
        <w:tc>
          <w:tcPr>
            <w:tcW w:w="60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其他结果</w:t>
            </w:r>
          </w:p>
        </w:tc>
        <w:tc>
          <w:tcPr>
            <w:tcW w:w="60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尚未审结</w:t>
            </w:r>
          </w:p>
        </w:tc>
        <w:tc>
          <w:tcPr>
            <w:tcW w:w="60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总计</w:t>
            </w:r>
          </w:p>
        </w:tc>
        <w:tc>
          <w:tcPr>
            <w:tcW w:w="60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结果维持</w:t>
            </w:r>
          </w:p>
        </w:tc>
        <w:tc>
          <w:tcPr>
            <w:tcW w:w="60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结果纠正</w:t>
            </w:r>
          </w:p>
        </w:tc>
        <w:tc>
          <w:tcPr>
            <w:tcW w:w="605"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其他结果</w:t>
            </w:r>
          </w:p>
        </w:tc>
        <w:tc>
          <w:tcPr>
            <w:tcW w:w="606"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sz w:val="20"/>
                <w:szCs w:val="20"/>
              </w:rPr>
              <w:t>尚未审结</w:t>
            </w:r>
          </w:p>
        </w:tc>
        <w:tc>
          <w:tcPr>
            <w:tcW w:w="606" w:type="dxa"/>
            <w:tcBorders>
              <w:top w:val="single" w:color="auto" w:sz="8" w:space="0"/>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default" w:ascii="Times New Roman" w:hAnsi="Times New Roman" w:cs="Times New Roman"/>
                <w:color w:val="000000"/>
                <w:sz w:val="20"/>
                <w:szCs w:val="20"/>
              </w:rPr>
              <w:t>总计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15" w:type="dxa"/>
            <w:left w:w="15" w:type="dxa"/>
            <w:bottom w:w="15" w:type="dxa"/>
            <w:right w:w="15" w:type="dxa"/>
          </w:tblCellMar>
        </w:tblPrEx>
        <w:trPr>
          <w:jc w:val="center"/>
        </w:trPr>
        <w:tc>
          <w:tcPr>
            <w:tcW w:w="604" w:type="dxa"/>
            <w:tcBorders>
              <w:top w:val="nil"/>
              <w:left w:val="single" w:color="auto" w:sz="8" w:space="0"/>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0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0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04"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58"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550"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000000"/>
                <w:sz w:val="20"/>
                <w:szCs w:val="20"/>
              </w:rPr>
              <w:t>0</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05"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color w:val="000000"/>
                <w:sz w:val="20"/>
                <w:szCs w:val="20"/>
              </w:rPr>
              <w:t>0</w:t>
            </w:r>
          </w:p>
        </w:tc>
        <w:tc>
          <w:tcPr>
            <w:tcW w:w="6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0"/>
                <w:szCs w:val="20"/>
              </w:rPr>
              <w:t>0</w:t>
            </w:r>
          </w:p>
        </w:tc>
        <w:tc>
          <w:tcPr>
            <w:tcW w:w="606" w:type="dxa"/>
            <w:tcBorders>
              <w:top w:val="nil"/>
              <w:left w:val="nil"/>
              <w:bottom w:val="single" w:color="auto" w:sz="8" w:space="0"/>
              <w:right w:val="single" w:color="auto" w:sz="8" w:space="0"/>
            </w:tcBorders>
            <w:shd w:val="clear"/>
            <w:tcMar>
              <w:top w:w="0" w:type="dxa"/>
              <w:left w:w="108" w:type="dxa"/>
              <w:bottom w:w="0" w:type="dxa"/>
              <w:right w:w="108" w:type="dxa"/>
            </w:tcMar>
            <w:vAlign w:val="center"/>
          </w:tcPr>
          <w:p>
            <w:pPr>
              <w:pStyle w:val="2"/>
              <w:keepNext w:val="0"/>
              <w:keepLines w:val="0"/>
              <w:widowControl/>
              <w:suppressLineNumbers w:val="0"/>
              <w:spacing w:before="0" w:beforeAutospacing="0" w:after="0" w:afterAutospacing="0"/>
              <w:ind w:left="0" w:right="0"/>
              <w:jc w:val="center"/>
              <w:rPr>
                <w:rFonts w:hint="default" w:ascii="Calibri" w:hAnsi="Calibri" w:cs="Calibri"/>
                <w:sz w:val="21"/>
                <w:szCs w:val="21"/>
              </w:rPr>
            </w:pPr>
            <w:r>
              <w:rPr>
                <w:rFonts w:hint="eastAsia" w:ascii="仿宋" w:hAnsi="仿宋" w:eastAsia="仿宋" w:cs="仿宋"/>
                <w:sz w:val="24"/>
                <w:szCs w:val="24"/>
              </w:rPr>
              <w:t>0</w:t>
            </w:r>
          </w:p>
        </w:tc>
      </w:tr>
    </w:tbl>
    <w:p>
      <w:pPr>
        <w:pStyle w:val="2"/>
        <w:keepNext w:val="0"/>
        <w:keepLines w:val="0"/>
        <w:widowControl/>
        <w:suppressLineNumbers w:val="0"/>
        <w:shd w:val="clear" w:fill="FFFFFF"/>
        <w:spacing w:before="0" w:beforeAutospacing="0" w:after="0" w:afterAutospacing="0"/>
        <w:ind w:left="0" w:right="0"/>
        <w:jc w:val="both"/>
        <w:rPr>
          <w:rFonts w:hint="default" w:ascii="Calibri" w:hAnsi="Calibri" w:cs="Calibri"/>
          <w:sz w:val="21"/>
          <w:szCs w:val="21"/>
        </w:rPr>
      </w:pPr>
      <w:r>
        <w:rPr>
          <w:rFonts w:hint="default" w:ascii="Calibri" w:hAnsi="Calibri" w:cs="Calibri"/>
          <w:sz w:val="21"/>
          <w:szCs w:val="21"/>
          <w:shd w:val="clear" w:fill="FFFFFF"/>
        </w:rPr>
        <w:t> </w:t>
      </w:r>
    </w:p>
    <w:p>
      <w:pPr>
        <w:pStyle w:val="2"/>
        <w:keepNext w:val="0"/>
        <w:keepLines w:val="0"/>
        <w:widowControl/>
        <w:suppressLineNumbers w:val="0"/>
        <w:shd w:val="clear" w:fill="FFFFFF"/>
        <w:spacing w:before="0" w:beforeAutospacing="0" w:after="0" w:afterAutospacing="0"/>
        <w:ind w:left="0" w:right="0"/>
        <w:jc w:val="both"/>
        <w:rPr>
          <w:rFonts w:hint="default" w:ascii="Calibri" w:hAnsi="Calibri" w:cs="Calibri"/>
          <w:sz w:val="21"/>
          <w:szCs w:val="21"/>
        </w:rPr>
      </w:pPr>
      <w:r>
        <w:rPr>
          <w:rFonts w:hint="eastAsia" w:ascii="仿宋" w:hAnsi="仿宋" w:eastAsia="仿宋" w:cs="仿宋"/>
          <w:b/>
          <w:bCs/>
          <w:color w:val="333333"/>
          <w:sz w:val="32"/>
          <w:szCs w:val="32"/>
          <w:shd w:val="clear" w:fill="FFFFFF"/>
        </w:rPr>
        <w:t>五、存在的主要问题及改进情况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ind w:left="0" w:right="0" w:firstLine="640"/>
        <w:jc w:val="left"/>
        <w:rPr>
          <w:rFonts w:hint="default" w:ascii="Calibri" w:hAnsi="Calibri" w:cs="Calibri"/>
          <w:sz w:val="24"/>
          <w:szCs w:val="24"/>
        </w:rPr>
      </w:pPr>
      <w:r>
        <w:rPr>
          <w:rFonts w:hint="eastAsia" w:ascii="仿宋" w:hAnsi="仿宋" w:eastAsia="仿宋" w:cs="仿宋"/>
          <w:i w:val="0"/>
          <w:iCs w:val="0"/>
          <w:caps w:val="0"/>
          <w:color w:val="000000"/>
          <w:spacing w:val="0"/>
          <w:sz w:val="32"/>
          <w:szCs w:val="32"/>
          <w:bdr w:val="none" w:color="auto" w:sz="0" w:space="0"/>
          <w:shd w:val="clear" w:fill="FFFFFF"/>
        </w:rPr>
        <w:t>（一）存在主要问题：2020年我镇在信息公开工作上按照要求做到“公开、透明”，但是仍存在一些问题。主要表现在：一、政府信息公开制度有待进一步完善；二、主动公开信息内容有待进一步丰富。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0" w:beforeAutospacing="0" w:after="150" w:afterAutospacing="0"/>
        <w:ind w:left="0" w:right="0" w:firstLine="640"/>
        <w:jc w:val="left"/>
        <w:rPr>
          <w:rFonts w:hint="default" w:ascii="Calibri" w:hAnsi="Calibri" w:cs="Calibri"/>
          <w:sz w:val="24"/>
          <w:szCs w:val="24"/>
        </w:rPr>
      </w:pPr>
      <w:r>
        <w:rPr>
          <w:rFonts w:hint="eastAsia" w:ascii="仿宋" w:hAnsi="仿宋" w:eastAsia="仿宋" w:cs="仿宋"/>
          <w:i w:val="0"/>
          <w:iCs w:val="0"/>
          <w:caps w:val="0"/>
          <w:color w:val="000000"/>
          <w:spacing w:val="0"/>
          <w:sz w:val="32"/>
          <w:szCs w:val="32"/>
          <w:bdr w:val="none" w:color="auto" w:sz="0" w:space="0"/>
          <w:shd w:val="clear" w:fill="FFFFFF"/>
        </w:rPr>
        <w:t>（二）改进情况：针对政府信息公开存在的问题，吴家店镇2020年</w:t>
      </w:r>
      <w:r>
        <w:rPr>
          <w:rFonts w:hint="eastAsia" w:ascii="仿宋" w:hAnsi="仿宋" w:eastAsia="仿宋" w:cs="仿宋"/>
          <w:sz w:val="32"/>
          <w:szCs w:val="32"/>
          <w:bdr w:val="none" w:color="auto" w:sz="0" w:space="0"/>
          <w:shd w:val="clear" w:fill="FFFFFF"/>
        </w:rPr>
        <w:t>将政府信息公开工作纳入年度目标绩效考评，坚持每月一统计、季度一通报，按季度召开政务公开部门协调会和调度会，对工作开展滞后、信息公开失误的单位进行通报。配合政府信息公开目录调整，重点对财政专项资金、政策解读等栏目进行调整规范，并根据政府信息公开目录调整，及时做好信息公开工作。</w:t>
      </w:r>
    </w:p>
    <w:p>
      <w:pPr>
        <w:pStyle w:val="2"/>
        <w:keepNext w:val="0"/>
        <w:keepLines w:val="0"/>
        <w:widowControl/>
        <w:suppressLineNumbers w:val="0"/>
        <w:shd w:val="clear" w:fill="FFFFFF"/>
        <w:spacing w:before="0" w:beforeAutospacing="0" w:after="0" w:afterAutospacing="0"/>
        <w:ind w:left="0" w:right="0"/>
        <w:jc w:val="both"/>
        <w:rPr>
          <w:rFonts w:hint="default" w:ascii="Calibri" w:hAnsi="Calibri" w:cs="Calibri"/>
          <w:sz w:val="21"/>
          <w:szCs w:val="21"/>
        </w:rPr>
      </w:pPr>
      <w:r>
        <w:rPr>
          <w:rFonts w:hint="eastAsia" w:ascii="仿宋" w:hAnsi="仿宋" w:eastAsia="仿宋" w:cs="仿宋"/>
          <w:b/>
          <w:bCs/>
          <w:color w:val="333333"/>
          <w:sz w:val="32"/>
          <w:szCs w:val="32"/>
          <w:shd w:val="clear" w:fill="FFFFFF"/>
        </w:rPr>
        <w:t>六、其他需要报告的事项</w:t>
      </w:r>
    </w:p>
    <w:p>
      <w:pPr>
        <w:pStyle w:val="2"/>
        <w:keepNext w:val="0"/>
        <w:keepLines w:val="0"/>
        <w:widowControl/>
        <w:suppressLineNumbers w:val="0"/>
        <w:shd w:val="clear" w:fill="FFFFFF"/>
        <w:spacing w:before="0" w:beforeAutospacing="0" w:after="0" w:afterAutospacing="0"/>
        <w:ind w:left="0" w:right="0" w:firstLine="480"/>
        <w:jc w:val="both"/>
        <w:rPr>
          <w:rFonts w:hint="default" w:ascii="Calibri" w:hAnsi="Calibri" w:cs="Calibri"/>
          <w:sz w:val="21"/>
          <w:szCs w:val="21"/>
        </w:rPr>
      </w:pPr>
      <w:r>
        <w:rPr>
          <w:rFonts w:hint="eastAsia" w:ascii="仿宋" w:hAnsi="仿宋" w:eastAsia="仿宋" w:cs="仿宋"/>
          <w:color w:val="333333"/>
          <w:sz w:val="32"/>
          <w:szCs w:val="32"/>
          <w:shd w:val="clear" w:fill="FFFFFF"/>
        </w:rPr>
        <w:t>无</w:t>
      </w:r>
    </w:p>
    <w:p/>
    <w:sectPr>
      <w:pgSz w:w="11906" w:h="16838"/>
      <w:pgMar w:top="1440" w:right="1519" w:bottom="1440" w:left="151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zMjQ1MDc0ZDY0OWIxZTIwYmUxYWI4ZWEzZjI2N2QifQ=="/>
  </w:docVars>
  <w:rsids>
    <w:rsidRoot w:val="3D2A53F5"/>
    <w:rsid w:val="3D2A53F5"/>
    <w:rsid w:val="5D7E656D"/>
    <w:rsid w:val="763D63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2861</Words>
  <Characters>2983</Characters>
  <Lines>0</Lines>
  <Paragraphs>0</Paragraphs>
  <TotalTime>6</TotalTime>
  <ScaleCrop>false</ScaleCrop>
  <LinksUpToDate>false</LinksUpToDate>
  <CharactersWithSpaces>2988</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2024-02-21T00:45:00Z</dcterms:created>
  <dc:creator>71406900219</dc:creator>
  <cp:lastModifiedBy>熬夜肚子饿</cp:lastModifiedBy>
  <dcterms:modified xsi:type="dcterms:W3CDTF">2024-07-02T02:44:10Z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39874485852341529F3CA0661AE49218_13</vt:lpwstr>
  </property>
</Properties>
</file>