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金寨县财政局</w:t>
      </w:r>
      <w:r>
        <w:rPr>
          <w:rFonts w:hint="default" w:ascii="Times New Roman" w:hAnsi="Times New Roman" w:eastAsia="方正小标宋简体" w:cs="Times New Roman"/>
          <w:b w:val="0"/>
          <w:bCs w:val="0"/>
          <w:i w:val="0"/>
          <w:iCs w:val="0"/>
          <w:caps w:val="0"/>
          <w:color w:val="000000"/>
          <w:spacing w:val="0"/>
          <w:sz w:val="44"/>
          <w:szCs w:val="44"/>
          <w:bdr w:val="none" w:color="auto" w:sz="0" w:space="0"/>
          <w:shd w:val="clear" w:fill="FFFFFF"/>
        </w:rPr>
        <w:t>2021</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本报告依据《中华人民共和国政府信息公开条例》（国务院令第</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711</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号，以下简称（新《条例》）》)和《六安市政务公开办公室关于做好政府信息公开年度报告编制和发布工作的通知》(六政务公开办〔</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64</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日至</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12</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日，报告的电子版可在金寨县信息公开网（</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http://</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www.</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ahjinzhai.</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gov.</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cn/</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public/</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index.</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html</w:t>
      </w:r>
      <w:r>
        <w:rPr>
          <w:rFonts w:hint="eastAsia" w:ascii="仿宋_GB2312" w:hAnsi="仿宋_GB2312" w:eastAsia="仿宋_GB2312" w:cs="仿宋_GB2312"/>
          <w:i w:val="0"/>
          <w:iCs w:val="0"/>
          <w:caps w:val="0"/>
          <w:color w:val="000000"/>
          <w:spacing w:val="0"/>
          <w:sz w:val="32"/>
          <w:szCs w:val="32"/>
          <w:bdr w:val="none" w:color="auto" w:sz="0" w:space="0"/>
          <w:shd w:val="clear" w:fill="FFFFFF"/>
        </w:rPr>
        <w:t>）下载。如对本报告有任何疑问，请与金寨县财政局办公室联系（地址：金寨县财政局</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402</w:t>
      </w:r>
      <w:r>
        <w:rPr>
          <w:rFonts w:hint="eastAsia" w:ascii="仿宋_GB2312" w:hAnsi="仿宋_GB2312" w:eastAsia="仿宋_GB2312" w:cs="仿宋_GB2312"/>
          <w:i w:val="0"/>
          <w:iCs w:val="0"/>
          <w:caps w:val="0"/>
          <w:color w:val="000000"/>
          <w:spacing w:val="0"/>
          <w:sz w:val="32"/>
          <w:szCs w:val="32"/>
          <w:bdr w:val="none" w:color="auto" w:sz="0" w:space="0"/>
          <w:shd w:val="clear" w:fill="FFFFFF"/>
        </w:rPr>
        <w:t>室，电话：</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0564</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7359010</w:t>
      </w:r>
      <w:r>
        <w:rPr>
          <w:rFonts w:hint="eastAsia" w:ascii="仿宋_GB2312" w:hAnsi="仿宋_GB2312" w:eastAsia="仿宋_GB2312" w:cs="仿宋_GB2312"/>
          <w:i w:val="0"/>
          <w:iCs w:val="0"/>
          <w:caps w:val="0"/>
          <w:color w:val="000000"/>
          <w:spacing w:val="0"/>
          <w:sz w:val="32"/>
          <w:szCs w:val="32"/>
          <w:bdr w:val="none" w:color="auto" w:sz="0" w:space="0"/>
          <w:shd w:val="clear" w:fill="FFFFFF"/>
        </w:rPr>
        <w:t>，邮编：</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237300</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right="0" w:firstLine="640" w:firstLineChars="20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年金寨县财政局积极主动承担部门主体责任，理清重点任务清单，围绕社会重点领域和群众关心关注的热点领域，加强政务公开力度，扎实开展政务信息公开工作。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楷体" w:cs="Times New Roman"/>
          <w:b w:val="0"/>
          <w:bCs w:val="0"/>
          <w:i w:val="0"/>
          <w:iCs w:val="0"/>
          <w:caps w:val="0"/>
          <w:color w:val="000000"/>
          <w:spacing w:val="0"/>
          <w:sz w:val="32"/>
          <w:szCs w:val="32"/>
          <w:bdr w:val="none" w:color="auto" w:sz="0" w:space="0"/>
          <w:shd w:val="clear" w:fill="FFFFFF"/>
        </w:rPr>
        <w:t>1</w:t>
      </w:r>
      <w:r>
        <w:rPr>
          <w:rFonts w:hint="eastAsia" w:ascii="楷体" w:hAnsi="楷体" w:eastAsia="楷体" w:cs="楷体"/>
          <w:b w:val="0"/>
          <w:bCs w:val="0"/>
          <w:i w:val="0"/>
          <w:iCs w:val="0"/>
          <w:caps w:val="0"/>
          <w:color w:val="000000"/>
          <w:spacing w:val="0"/>
          <w:sz w:val="32"/>
          <w:szCs w:val="32"/>
          <w:bdr w:val="none" w:color="auto" w:sz="0" w:space="0"/>
          <w:shd w:val="clear" w:fill="FFFFFF"/>
        </w:rPr>
        <w:t>.主动公开情况：</w:t>
      </w:r>
      <w:r>
        <w:rPr>
          <w:rFonts w:hint="eastAsia" w:ascii="仿宋_GB2312" w:hAnsi="仿宋_GB2312" w:eastAsia="仿宋_GB2312" w:cs="仿宋_GB2312"/>
          <w:i w:val="0"/>
          <w:iCs w:val="0"/>
          <w:caps w:val="0"/>
          <w:color w:val="000000"/>
          <w:spacing w:val="0"/>
          <w:sz w:val="32"/>
          <w:szCs w:val="32"/>
          <w:bdr w:val="none" w:color="auto" w:sz="0" w:space="0"/>
          <w:shd w:val="clear" w:fill="FFFFFF"/>
        </w:rPr>
        <w:t>我局全年主动公开</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422</w:t>
      </w:r>
      <w:r>
        <w:rPr>
          <w:rFonts w:hint="eastAsia" w:ascii="仿宋_GB2312" w:hAnsi="仿宋_GB2312" w:eastAsia="仿宋_GB2312" w:cs="仿宋_GB2312"/>
          <w:i w:val="0"/>
          <w:iCs w:val="0"/>
          <w:caps w:val="0"/>
          <w:color w:val="000000"/>
          <w:spacing w:val="0"/>
          <w:sz w:val="32"/>
          <w:szCs w:val="32"/>
          <w:bdr w:val="none" w:color="auto" w:sz="0" w:space="0"/>
          <w:shd w:val="clear" w:fill="FFFFFF"/>
        </w:rPr>
        <w:t>件各类信息，主动回应群众来信</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14</w:t>
      </w:r>
      <w:r>
        <w:rPr>
          <w:rFonts w:hint="eastAsia" w:ascii="仿宋_GB2312" w:hAnsi="仿宋_GB2312" w:eastAsia="仿宋_GB2312" w:cs="仿宋_GB2312"/>
          <w:i w:val="0"/>
          <w:iCs w:val="0"/>
          <w:caps w:val="0"/>
          <w:color w:val="000000"/>
          <w:spacing w:val="0"/>
          <w:sz w:val="32"/>
          <w:szCs w:val="32"/>
          <w:bdr w:val="none" w:color="auto" w:sz="0" w:space="0"/>
          <w:shd w:val="clear" w:fill="FFFFFF"/>
        </w:rPr>
        <w:t>件。全年共发布</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件规范性文件，始终坚持“公开、透明、为民、规范”的原则明确要求做好规范性文件意见征集、意见反馈、文件发布、政策解读全流程工作。采用多种解读方式，利用政策图解，新闻发布会，专家解读等形式发布</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9</w:t>
      </w:r>
      <w:r>
        <w:rPr>
          <w:rFonts w:hint="eastAsia" w:ascii="仿宋_GB2312" w:hAnsi="仿宋_GB2312" w:eastAsia="仿宋_GB2312" w:cs="仿宋_GB2312"/>
          <w:i w:val="0"/>
          <w:iCs w:val="0"/>
          <w:caps w:val="0"/>
          <w:color w:val="000000"/>
          <w:spacing w:val="0"/>
          <w:sz w:val="32"/>
          <w:szCs w:val="32"/>
          <w:bdr w:val="none" w:color="auto" w:sz="0" w:space="0"/>
          <w:shd w:val="clear" w:fill="FFFFFF"/>
        </w:rPr>
        <w:t>篇解读文件。及时公开督办情况、政府工作、人大政协提议办理工作等落实情况信息，及时回应社会关切问题。主动公开重点领域工作，按月公开预算、决算、“三公”经费信息，定期及时公开财政专项资金、政府采购工作、政府债务信息、防范化解重大风险等重点领域信息，做好本部门督查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楷体" w:cs="Times New Roman"/>
          <w:b w:val="0"/>
          <w:bCs w:val="0"/>
          <w:i w:val="0"/>
          <w:iCs w:val="0"/>
          <w:caps w:val="0"/>
          <w:color w:val="000000"/>
          <w:spacing w:val="0"/>
          <w:sz w:val="32"/>
          <w:szCs w:val="32"/>
          <w:bdr w:val="none" w:color="auto" w:sz="0" w:space="0"/>
          <w:shd w:val="clear" w:fill="FFFFFF"/>
        </w:rPr>
        <w:t>2</w:t>
      </w:r>
      <w:r>
        <w:rPr>
          <w:rFonts w:hint="eastAsia" w:ascii="楷体" w:hAnsi="楷体" w:eastAsia="楷体" w:cs="楷体"/>
          <w:b w:val="0"/>
          <w:bCs w:val="0"/>
          <w:i w:val="0"/>
          <w:iCs w:val="0"/>
          <w:caps w:val="0"/>
          <w:color w:val="000000"/>
          <w:spacing w:val="0"/>
          <w:sz w:val="32"/>
          <w:szCs w:val="32"/>
          <w:bdr w:val="none" w:color="auto" w:sz="0" w:space="0"/>
          <w:shd w:val="clear" w:fill="FFFFFF"/>
        </w:rPr>
        <w:t>.依申请公开：</w:t>
      </w:r>
      <w:r>
        <w:rPr>
          <w:rFonts w:hint="eastAsia" w:ascii="仿宋_GB2312" w:hAnsi="仿宋_GB2312" w:eastAsia="仿宋_GB2312" w:cs="仿宋_GB2312"/>
          <w:i w:val="0"/>
          <w:iCs w:val="0"/>
          <w:caps w:val="0"/>
          <w:color w:val="000000"/>
          <w:spacing w:val="0"/>
          <w:sz w:val="32"/>
          <w:szCs w:val="32"/>
          <w:bdr w:val="none" w:color="auto" w:sz="0" w:space="0"/>
          <w:shd w:val="clear" w:fill="FFFFFF"/>
        </w:rPr>
        <w:t>我局始终依据《中华人民共和国政府信息公开条例》要求，严格遵循依申请公开政府信息办法及办理规程，规范完善依申请公开流程，畅清依申请公开渠道，及时回应群众关心问题。全年未收到依申请公开内容。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楷体" w:cs="Times New Roman"/>
          <w:b w:val="0"/>
          <w:bCs w:val="0"/>
          <w:i w:val="0"/>
          <w:iCs w:val="0"/>
          <w:caps w:val="0"/>
          <w:color w:val="000000"/>
          <w:spacing w:val="0"/>
          <w:sz w:val="32"/>
          <w:szCs w:val="32"/>
          <w:bdr w:val="none" w:color="auto" w:sz="0" w:space="0"/>
          <w:shd w:val="clear" w:fill="FFFFFF"/>
        </w:rPr>
        <w:t>3</w:t>
      </w:r>
      <w:r>
        <w:rPr>
          <w:rFonts w:hint="eastAsia" w:ascii="楷体" w:hAnsi="楷体" w:eastAsia="楷体" w:cs="楷体"/>
          <w:b w:val="0"/>
          <w:bCs w:val="0"/>
          <w:i w:val="0"/>
          <w:iCs w:val="0"/>
          <w:caps w:val="0"/>
          <w:color w:val="000000"/>
          <w:spacing w:val="0"/>
          <w:sz w:val="32"/>
          <w:szCs w:val="32"/>
          <w:bdr w:val="none" w:color="auto" w:sz="0" w:space="0"/>
          <w:shd w:val="clear" w:fill="FFFFFF"/>
        </w:rPr>
        <w:t>.政府信息管理：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我局严格按照政府信息工作的有关部署要求，一方面落实三审制度，确保政府信息公开的程序性、严谨性。另一方面坚持工作责任落实到人。指定专人负责政府信息公开工作，实行一岗双人制度，及时处理问题，定期排查隐私敏感信息，把政府信息公开工作落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楷体" w:cs="Times New Roman"/>
          <w:b w:val="0"/>
          <w:bCs w:val="0"/>
          <w:i w:val="0"/>
          <w:iCs w:val="0"/>
          <w:caps w:val="0"/>
          <w:color w:val="000000"/>
          <w:spacing w:val="0"/>
          <w:sz w:val="32"/>
          <w:szCs w:val="32"/>
          <w:bdr w:val="none" w:color="auto" w:sz="0" w:space="0"/>
          <w:shd w:val="clear" w:fill="FFFFFF"/>
        </w:rPr>
        <w:t>4</w:t>
      </w:r>
      <w:r>
        <w:rPr>
          <w:rFonts w:hint="eastAsia" w:ascii="楷体" w:hAnsi="楷体" w:eastAsia="楷体" w:cs="楷体"/>
          <w:b w:val="0"/>
          <w:bCs w:val="0"/>
          <w:i w:val="0"/>
          <w:iCs w:val="0"/>
          <w:caps w:val="0"/>
          <w:color w:val="000000"/>
          <w:spacing w:val="0"/>
          <w:sz w:val="32"/>
          <w:szCs w:val="32"/>
          <w:bdr w:val="none" w:color="auto" w:sz="0" w:space="0"/>
          <w:shd w:val="clear" w:fill="FFFFFF"/>
        </w:rPr>
        <w:t>.政府信息公开平台建设情况：</w:t>
      </w:r>
      <w:r>
        <w:rPr>
          <w:rFonts w:hint="eastAsia" w:ascii="仿宋_GB2312" w:hAnsi="仿宋_GB2312" w:eastAsia="仿宋_GB2312" w:cs="仿宋_GB2312"/>
          <w:i w:val="0"/>
          <w:iCs w:val="0"/>
          <w:caps w:val="0"/>
          <w:color w:val="000000"/>
          <w:spacing w:val="0"/>
          <w:sz w:val="32"/>
          <w:szCs w:val="32"/>
          <w:bdr w:val="none" w:color="auto" w:sz="0" w:space="0"/>
          <w:shd w:val="clear" w:fill="FFFFFF"/>
        </w:rPr>
        <w:t>我局依法依规做好政府信息主动公开工作，进一步优化网站功能，根据上级有关规定结合工作实际情况，及时优化调整公开目录和公开内容，不断优化网站功能。进一步规范信息公开流程，根据实际需要更新信息公开指南，梳理信息公开内容，保障政府网站信息公开的准确性、及时性和安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楷体" w:cs="Times New Roman"/>
          <w:b w:val="0"/>
          <w:bCs w:val="0"/>
          <w:i w:val="0"/>
          <w:iCs w:val="0"/>
          <w:caps w:val="0"/>
          <w:color w:val="000000"/>
          <w:spacing w:val="0"/>
          <w:sz w:val="32"/>
          <w:szCs w:val="32"/>
          <w:bdr w:val="none" w:color="auto" w:sz="0" w:space="0"/>
          <w:shd w:val="clear" w:fill="FFFFFF"/>
        </w:rPr>
        <w:t>5</w:t>
      </w:r>
      <w:r>
        <w:rPr>
          <w:rFonts w:hint="eastAsia" w:ascii="楷体" w:hAnsi="楷体" w:eastAsia="楷体" w:cs="楷体"/>
          <w:b w:val="0"/>
          <w:bCs w:val="0"/>
          <w:i w:val="0"/>
          <w:iCs w:val="0"/>
          <w:caps w:val="0"/>
          <w:color w:val="000000"/>
          <w:spacing w:val="0"/>
          <w:sz w:val="32"/>
          <w:szCs w:val="32"/>
          <w:bdr w:val="none" w:color="auto" w:sz="0" w:space="0"/>
          <w:shd w:val="clear" w:fill="FFFFFF"/>
        </w:rPr>
        <w:t>.监督保障：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t>我局高度重视政府信息公开工作的监督保障，建立相关机制，明确责任到人。一是对信息公开工作任务进行分解落实，厘清职责分工。二是严格落实考核，及时对月度及季度测评反馈问题及时进行整改并公开整改清单。三是加强政策解读，提升社会评议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二、主动公开政府信息情况</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eastAsia" w:ascii="Calibri" w:hAnsi="Calibri" w:eastAsia="宋体" w:cs="Calibri"/>
                <w:sz w:val="21"/>
                <w:szCs w:val="21"/>
                <w:lang w:eastAsia="zh-CN"/>
              </w:rPr>
            </w:pPr>
            <w:r>
              <w:rPr>
                <w:rFonts w:hint="default" w:ascii="Times New Roman" w:hAnsi="Times New Roman" w:eastAsia="宋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lang w:val="en-US" w:eastAsia="zh-CN"/>
              </w:rPr>
              <w:t xml:space="preserve"> </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1</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Calibri" w:hAnsi="Calibri" w:cs="Calibri"/>
                <w:color w:val="000000"/>
                <w:sz w:val="21"/>
                <w:szCs w:val="21"/>
                <w:bdr w:val="none" w:color="auto" w:sz="0" w:space="0"/>
              </w:rPr>
              <w:t> </w:t>
            </w:r>
            <w:r>
              <w:rPr>
                <w:rFonts w:hint="default" w:ascii="Times New Roman" w:hAnsi="Times New Roman" w:cs="Times New Roman"/>
                <w:color w:val="00000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w:t>
            </w:r>
            <w:r>
              <w:rPr>
                <w:rFonts w:hint="eastAsia" w:ascii="宋体" w:hAnsi="宋体" w:eastAsia="宋体" w:cs="宋体"/>
                <w:color w:val="000000"/>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行政事业性收费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三、收到和处理政府信息公开申请情况</w:t>
      </w:r>
    </w:p>
    <w:tbl>
      <w:tblPr>
        <w:tblW w:w="97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楷体" w:hAnsi="楷体" w:eastAsia="楷体" w:cs="楷体"/>
                <w:color w:val="000000"/>
                <w:sz w:val="20"/>
                <w:szCs w:val="20"/>
                <w:bdr w:val="none" w:color="auto" w:sz="0" w:space="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法人或其他组织</w:t>
            </w:r>
          </w:p>
        </w:tc>
        <w:tc>
          <w:tcPr>
            <w:tcW w:w="688" w:type="dxa"/>
            <w:vMerge w:val="restart"/>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p>
        </w:tc>
        <w:tc>
          <w:tcPr>
            <w:tcW w:w="688" w:type="dxa"/>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三、本年度办理结果</w:t>
            </w: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（二）部分公开</w:t>
            </w:r>
            <w:r>
              <w:rPr>
                <w:rFonts w:hint="eastAsia" w:ascii="楷体" w:hAnsi="楷体" w:eastAsia="楷体" w:cs="楷体"/>
                <w:color w:val="000000"/>
                <w:sz w:val="20"/>
                <w:szCs w:val="20"/>
                <w:bdr w:val="none" w:color="auto" w:sz="0" w:space="0"/>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（三）不予公开</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1</w:t>
            </w:r>
            <w:r>
              <w:rPr>
                <w:rFonts w:hint="eastAsia" w:ascii="宋体" w:hAnsi="宋体" w:eastAsia="宋体" w:cs="宋体"/>
                <w:color w:val="000000"/>
                <w:sz w:val="20"/>
                <w:szCs w:val="20"/>
                <w:bdr w:val="none" w:color="auto" w:sz="0" w:space="0"/>
              </w:rPr>
              <w:t>.属于国家秘密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w:t>
            </w:r>
            <w:r>
              <w:rPr>
                <w:rFonts w:hint="eastAsia" w:ascii="宋体" w:hAnsi="宋体" w:eastAsia="宋体" w:cs="宋体"/>
                <w:color w:val="000000"/>
                <w:sz w:val="20"/>
                <w:szCs w:val="20"/>
                <w:bdr w:val="none" w:color="auto" w:sz="0" w:space="0"/>
              </w:rPr>
              <w:t>.其他法律行政法规禁止公开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3</w:t>
            </w:r>
            <w:r>
              <w:rPr>
                <w:rFonts w:hint="eastAsia" w:ascii="宋体" w:hAnsi="宋体" w:eastAsia="宋体" w:cs="宋体"/>
                <w:color w:val="000000"/>
                <w:sz w:val="20"/>
                <w:szCs w:val="20"/>
                <w:bdr w:val="none" w:color="auto" w:sz="0" w:space="0"/>
              </w:rPr>
              <w:t>.危及“三安全一稳定”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4</w:t>
            </w:r>
            <w:r>
              <w:rPr>
                <w:rFonts w:hint="eastAsia" w:ascii="宋体" w:hAnsi="宋体" w:eastAsia="宋体" w:cs="宋体"/>
                <w:color w:val="000000"/>
                <w:sz w:val="20"/>
                <w:szCs w:val="20"/>
                <w:bdr w:val="none" w:color="auto" w:sz="0" w:space="0"/>
              </w:rPr>
              <w:t>.保护第三方合法权益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5</w:t>
            </w:r>
            <w:r>
              <w:rPr>
                <w:rFonts w:hint="eastAsia" w:ascii="宋体" w:hAnsi="宋体" w:eastAsia="宋体" w:cs="宋体"/>
                <w:color w:val="000000"/>
                <w:sz w:val="20"/>
                <w:szCs w:val="20"/>
                <w:bdr w:val="none" w:color="auto" w:sz="0" w:space="0"/>
              </w:rPr>
              <w:t>.属于三类内部事务信息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6</w:t>
            </w:r>
            <w:r>
              <w:rPr>
                <w:rFonts w:hint="eastAsia" w:ascii="宋体" w:hAnsi="宋体" w:eastAsia="宋体" w:cs="宋体"/>
                <w:color w:val="000000"/>
                <w:sz w:val="20"/>
                <w:szCs w:val="20"/>
                <w:bdr w:val="none" w:color="auto" w:sz="0" w:space="0"/>
              </w:rPr>
              <w:t>.属于四类过程性信息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7</w:t>
            </w:r>
            <w:r>
              <w:rPr>
                <w:rFonts w:hint="eastAsia" w:ascii="宋体" w:hAnsi="宋体" w:eastAsia="宋体" w:cs="宋体"/>
                <w:color w:val="000000"/>
                <w:sz w:val="20"/>
                <w:szCs w:val="20"/>
                <w:bdr w:val="none" w:color="auto" w:sz="0" w:space="0"/>
              </w:rPr>
              <w:t>.属于行政执法案卷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8</w:t>
            </w:r>
            <w:r>
              <w:rPr>
                <w:rFonts w:hint="eastAsia" w:ascii="宋体" w:hAnsi="宋体" w:eastAsia="宋体" w:cs="宋体"/>
                <w:color w:val="000000"/>
                <w:sz w:val="20"/>
                <w:szCs w:val="20"/>
                <w:bdr w:val="none" w:color="auto" w:sz="0" w:space="0"/>
              </w:rPr>
              <w:t>.属于行政查询事项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（四）无法提供</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1</w:t>
            </w:r>
            <w:r>
              <w:rPr>
                <w:rFonts w:hint="eastAsia" w:ascii="宋体" w:hAnsi="宋体" w:eastAsia="宋体" w:cs="宋体"/>
                <w:color w:val="000000"/>
                <w:sz w:val="20"/>
                <w:szCs w:val="20"/>
                <w:bdr w:val="none" w:color="auto" w:sz="0" w:space="0"/>
              </w:rPr>
              <w:t>.本机关不掌握相关政府信息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w:t>
            </w:r>
            <w:r>
              <w:rPr>
                <w:rFonts w:hint="eastAsia" w:ascii="宋体" w:hAnsi="宋体" w:eastAsia="宋体" w:cs="宋体"/>
                <w:color w:val="000000"/>
                <w:sz w:val="20"/>
                <w:szCs w:val="20"/>
                <w:bdr w:val="none" w:color="auto" w:sz="0" w:space="0"/>
              </w:rPr>
              <w:t>.没有现成信息需要另行制作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3</w:t>
            </w:r>
            <w:r>
              <w:rPr>
                <w:rFonts w:hint="eastAsia" w:ascii="宋体" w:hAnsi="宋体" w:eastAsia="宋体" w:cs="宋体"/>
                <w:color w:val="000000"/>
                <w:sz w:val="20"/>
                <w:szCs w:val="20"/>
                <w:bdr w:val="none" w:color="auto" w:sz="0" w:space="0"/>
              </w:rPr>
              <w:t>.补正后申请内容仍不明确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（五）不予处理</w:t>
            </w: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1</w:t>
            </w:r>
            <w:r>
              <w:rPr>
                <w:rFonts w:hint="eastAsia" w:ascii="宋体" w:hAnsi="宋体" w:eastAsia="宋体" w:cs="宋体"/>
                <w:color w:val="000000"/>
                <w:sz w:val="20"/>
                <w:szCs w:val="20"/>
                <w:bdr w:val="none" w:color="auto" w:sz="0" w:space="0"/>
              </w:rPr>
              <w:t>.信访举报投诉类申请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w:t>
            </w:r>
            <w:r>
              <w:rPr>
                <w:rFonts w:hint="eastAsia" w:ascii="宋体" w:hAnsi="宋体" w:eastAsia="宋体" w:cs="宋体"/>
                <w:color w:val="000000"/>
                <w:sz w:val="20"/>
                <w:szCs w:val="20"/>
                <w:bdr w:val="none" w:color="auto" w:sz="0" w:space="0"/>
              </w:rPr>
              <w:t>.重复申请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3</w:t>
            </w:r>
            <w:r>
              <w:rPr>
                <w:rFonts w:hint="eastAsia" w:ascii="宋体" w:hAnsi="宋体" w:eastAsia="宋体" w:cs="宋体"/>
                <w:color w:val="000000"/>
                <w:sz w:val="20"/>
                <w:szCs w:val="20"/>
                <w:bdr w:val="none" w:color="auto" w:sz="0" w:space="0"/>
              </w:rPr>
              <w:t>.要求提供公开出版物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4</w:t>
            </w:r>
            <w:r>
              <w:rPr>
                <w:rFonts w:hint="eastAsia" w:ascii="宋体" w:hAnsi="宋体" w:eastAsia="宋体" w:cs="宋体"/>
                <w:color w:val="000000"/>
                <w:sz w:val="20"/>
                <w:szCs w:val="20"/>
                <w:bdr w:val="none" w:color="auto" w:sz="0" w:space="0"/>
              </w:rPr>
              <w:t>.无正当理由大量反复申请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5</w:t>
            </w:r>
            <w:r>
              <w:rPr>
                <w:rFonts w:hint="eastAsia" w:ascii="宋体" w:hAnsi="宋体" w:eastAsia="宋体" w:cs="宋体"/>
                <w:color w:val="000000"/>
                <w:sz w:val="20"/>
                <w:szCs w:val="20"/>
                <w:bdr w:val="none" w:color="auto" w:sz="0" w:space="0"/>
              </w:rPr>
              <w:t>.要求行政机关确认或重新出具已获取信息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（六）其他处理</w:t>
            </w: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1</w:t>
            </w:r>
            <w:r>
              <w:rPr>
                <w:rFonts w:hint="eastAsia" w:ascii="宋体" w:hAnsi="宋体" w:eastAsia="宋体" w:cs="宋体"/>
                <w:color w:val="000000"/>
                <w:sz w:val="20"/>
                <w:szCs w:val="20"/>
                <w:bdr w:val="none" w:color="auto" w:sz="0" w:space="0"/>
              </w:rPr>
              <w:t>.申请人无正当理由逾期不补正、行政机关不再处理其政府信息公开申请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2</w:t>
            </w:r>
            <w:r>
              <w:rPr>
                <w:rFonts w:hint="eastAsia" w:ascii="宋体" w:hAnsi="宋体" w:eastAsia="宋体" w:cs="宋体"/>
                <w:color w:val="000000"/>
                <w:sz w:val="20"/>
                <w:szCs w:val="20"/>
                <w:bdr w:val="none" w:color="auto" w:sz="0" w:space="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宋体" w:cs="Times New Roman"/>
                <w:color w:val="000000"/>
                <w:sz w:val="20"/>
                <w:szCs w:val="20"/>
                <w:bdr w:val="none" w:color="auto" w:sz="0" w:space="0"/>
              </w:rPr>
              <w:t>3</w:t>
            </w:r>
            <w:r>
              <w:rPr>
                <w:rFonts w:hint="eastAsia" w:ascii="宋体" w:hAnsi="宋体" w:eastAsia="宋体" w:cs="宋体"/>
                <w:color w:val="000000"/>
                <w:sz w:val="20"/>
                <w:szCs w:val="20"/>
                <w:bdr w:val="none" w:color="auto" w:sz="0" w:space="0"/>
              </w:rPr>
              <w:t>.其他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 </w:t>
            </w:r>
            <w:r>
              <w:rPr>
                <w:rFonts w:hint="default" w:ascii="Times New Roman" w:hAnsi="Times New Roman" w:cs="Times New Roman"/>
                <w:color w:val="000000"/>
                <w:sz w:val="20"/>
                <w:szCs w:val="20"/>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四、政府信息公开行政复议、行政诉讼情况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2"/>
        <w:gridCol w:w="572"/>
        <w:gridCol w:w="572"/>
        <w:gridCol w:w="572"/>
        <w:gridCol w:w="572"/>
        <w:gridCol w:w="572"/>
        <w:gridCol w:w="572"/>
        <w:gridCol w:w="572"/>
        <w:gridCol w:w="572"/>
        <w:gridCol w:w="572"/>
        <w:gridCol w:w="572"/>
        <w:gridCol w:w="572"/>
        <w:gridCol w:w="572"/>
        <w:gridCol w:w="572"/>
        <w:gridCol w:w="5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行政复议</w:t>
            </w:r>
          </w:p>
        </w:tc>
        <w:tc>
          <w:tcPr>
            <w:tcW w:w="649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尚未</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未经复议直接起诉</w:t>
            </w:r>
          </w:p>
        </w:tc>
        <w:tc>
          <w:tcPr>
            <w:tcW w:w="325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尚未</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维持</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结果</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其他</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尚未</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 </w:t>
            </w:r>
            <w:r>
              <w:rPr>
                <w:rFonts w:hint="default" w:ascii="Times New Roman" w:hAnsi="Times New Roman" w:eastAsia="黑体" w:cs="Times New Roman"/>
                <w:color w:val="000000"/>
                <w:sz w:val="20"/>
                <w:szCs w:val="20"/>
                <w:bdr w:val="none" w:color="auto" w:sz="0" w:space="0"/>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Times New Roman" w:hAnsi="Times New Roman" w:eastAsia="黑体" w:cs="Times New Roman"/>
                <w:color w:val="000000"/>
                <w:sz w:val="20"/>
                <w:szCs w:val="20"/>
                <w:bdr w:val="none" w:color="auto" w:sz="0" w:space="0"/>
              </w:rPr>
              <w:t>0</w:t>
            </w:r>
            <w:r>
              <w:rPr>
                <w:rFonts w:hint="eastAsia" w:ascii="宋体" w:hAnsi="宋体" w:eastAsia="宋体" w:cs="宋体"/>
                <w:color w:val="000000"/>
                <w:sz w:val="20"/>
                <w:szCs w:val="20"/>
                <w:bdr w:val="none" w:color="auto" w:sz="0" w:space="0"/>
              </w:rPr>
              <w:t> </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default" w:ascii="Times New Roman" w:hAnsi="Times New Roman" w:eastAsia="仿宋" w:cs="Times New Roman"/>
                <w:color w:val="000000"/>
                <w:sz w:val="24"/>
                <w:szCs w:val="24"/>
                <w:bdr w:val="none" w:color="auto" w:sz="0" w:space="0"/>
              </w:rPr>
              <w:t> </w:t>
            </w:r>
            <w:r>
              <w:rPr>
                <w:rFonts w:hint="default" w:ascii="Times New Roman" w:hAnsi="Times New Roman" w:eastAsia="宋体" w:cs="Times New Roman"/>
                <w:color w:val="00000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val="0"/>
          <w:bCs w:val="0"/>
          <w:i w:val="0"/>
          <w:iCs w:val="0"/>
          <w:caps w:val="0"/>
          <w:color w:val="000000"/>
          <w:spacing w:val="0"/>
          <w:sz w:val="32"/>
          <w:szCs w:val="32"/>
          <w:bdr w:val="none" w:color="auto" w:sz="0" w:space="0"/>
          <w:shd w:val="clear" w:fill="FFFFFF"/>
        </w:rPr>
        <w:t>存在问题：</w:t>
      </w:r>
      <w:r>
        <w:rPr>
          <w:rFonts w:hint="eastAsia" w:ascii="仿宋" w:hAnsi="仿宋" w:eastAsia="仿宋" w:cs="仿宋"/>
          <w:i w:val="0"/>
          <w:iCs w:val="0"/>
          <w:caps w:val="0"/>
          <w:color w:val="000000"/>
          <w:spacing w:val="0"/>
          <w:sz w:val="32"/>
          <w:szCs w:val="32"/>
          <w:bdr w:val="none" w:color="auto" w:sz="0" w:space="0"/>
          <w:shd w:val="clear" w:fill="FFFFFF"/>
        </w:rPr>
        <w:t>一是业务能力还需进一步加强。相关科室对政务公开工作</w:t>
      </w: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不熟悉，缺乏系统的学习，未能完全掌握政务公开的工作要求。二是政务公开渠道还需进一步拓宽。目前，政务公开信息大多数限于网站公告栏、公告手册、微信公众号等，内容枯燥，形式单一，还停留在长篇文字、少量图片的层面，吸引力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val="0"/>
          <w:bCs w:val="0"/>
          <w:i w:val="0"/>
          <w:iCs w:val="0"/>
          <w:caps w:val="0"/>
          <w:color w:val="000000"/>
          <w:spacing w:val="0"/>
          <w:sz w:val="32"/>
          <w:szCs w:val="32"/>
          <w:bdr w:val="none" w:color="auto" w:sz="0" w:space="0"/>
          <w:shd w:val="clear" w:fill="FFFFFF"/>
        </w:rPr>
        <w:t>改进情况：</w:t>
      </w:r>
      <w:r>
        <w:rPr>
          <w:rFonts w:hint="eastAsia" w:ascii="仿宋" w:hAnsi="仿宋" w:eastAsia="仿宋" w:cs="仿宋"/>
          <w:i w:val="0"/>
          <w:iCs w:val="0"/>
          <w:caps w:val="0"/>
          <w:color w:val="000000"/>
          <w:spacing w:val="0"/>
          <w:sz w:val="32"/>
          <w:szCs w:val="32"/>
          <w:bdr w:val="none" w:color="auto" w:sz="0" w:space="0"/>
          <w:shd w:val="clear" w:fill="FFFFFF"/>
        </w:rPr>
        <w:t>一是加强业务培训，不断提升能力素质。认真研究学习上级有关文件，掌握政府信息公开工作的最新工作标准要求，切实增强业务水平。二是积极拓展公开渠道，丰富公开载体。通过在线访谈、新闻发布会等多种方式，及时回应群众关注的热点问题。通过新闻发布会、媒体解读政策图解等多种渠道进行解读，提高政策解读数量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按照《国务院办公厅关于印发〈政府信息公开信息处理费管理办法〉的通知》（国办函〔</w:t>
      </w:r>
      <w:r>
        <w:rPr>
          <w:rFonts w:hint="default" w:ascii="Times New Roman" w:hAnsi="Times New Roman" w:eastAsia="仿宋" w:cs="Times New Roman"/>
          <w:i w:val="0"/>
          <w:iCs w:val="0"/>
          <w:caps w:val="0"/>
          <w:color w:val="000000"/>
          <w:spacing w:val="0"/>
          <w:sz w:val="32"/>
          <w:szCs w:val="32"/>
          <w:bdr w:val="none" w:color="auto" w:sz="0" w:space="0"/>
          <w:shd w:val="clear" w:fill="FFFFFF"/>
        </w:rPr>
        <w:t>2020</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仿宋" w:cs="Times New Roman"/>
          <w:i w:val="0"/>
          <w:iCs w:val="0"/>
          <w:caps w:val="0"/>
          <w:color w:val="000000"/>
          <w:spacing w:val="0"/>
          <w:sz w:val="32"/>
          <w:szCs w:val="32"/>
          <w:bdr w:val="none" w:color="auto" w:sz="0" w:space="0"/>
          <w:shd w:val="clear" w:fill="FFFFFF"/>
        </w:rPr>
        <w:t>109</w:t>
      </w:r>
      <w:r>
        <w:rPr>
          <w:rFonts w:hint="eastAsia" w:ascii="仿宋" w:hAnsi="仿宋" w:eastAsia="仿宋" w:cs="仿宋"/>
          <w:i w:val="0"/>
          <w:iCs w:val="0"/>
          <w:caps w:val="0"/>
          <w:color w:val="000000"/>
          <w:spacing w:val="0"/>
          <w:sz w:val="32"/>
          <w:szCs w:val="32"/>
          <w:bdr w:val="none" w:color="auto" w:sz="0" w:space="0"/>
          <w:shd w:val="clear" w:fill="FFFFFF"/>
        </w:rPr>
        <w:t>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NDA2MWVjOWI4OTQ3NjJiMmMwNWFkNzZjZjRmOGUifQ=="/>
  </w:docVars>
  <w:rsids>
    <w:rsidRoot w:val="1EE96DA7"/>
    <w:rsid w:val="1EE9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2024-07-02T02:50:00Z</dcterms:created>
  <dc:creator>gyb1</dc:creator>
  <cp:lastModifiedBy>gyb1</cp:lastModifiedBy>
  <dcterms:modified xsi:type="dcterms:W3CDTF">2024-07-02T03:13:36Z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78FF566AA4334C838F5D8F590438B1FB_11</vt:lpwstr>
  </property>
</Properties>
</file>