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00" w:lineRule="exact"/>
        <w:jc w:val="center"/>
        <w:outlineLvl w:val="0"/>
        <w:rPr>
          <w:rFonts w:ascii="微软雅黑" w:hAnsi="微软雅黑" w:eastAsia="微软雅黑" w:cs="宋体"/>
          <w:color w:val="333333"/>
          <w:kern w:val="36"/>
          <w:sz w:val="36"/>
          <w:szCs w:val="36"/>
        </w:rPr>
      </w:pPr>
      <w:r>
        <w:rPr>
          <w:rFonts w:hint="eastAsia" w:ascii="微软雅黑" w:hAnsi="微软雅黑" w:eastAsia="微软雅黑" w:cs="宋体"/>
          <w:color w:val="333333"/>
          <w:kern w:val="36"/>
          <w:sz w:val="36"/>
          <w:szCs w:val="36"/>
        </w:rPr>
        <w:t>金寨县农业农村局2021年政府信息公开工作</w:t>
      </w:r>
    </w:p>
    <w:p>
      <w:pPr>
        <w:widowControl/>
        <w:shd w:val="clear" w:color="auto" w:fill="FFFFFF"/>
        <w:spacing w:line="700" w:lineRule="exact"/>
        <w:ind w:firstLine="2700" w:firstLineChars="750"/>
        <w:outlineLvl w:val="0"/>
        <w:rPr>
          <w:rFonts w:ascii="微软雅黑" w:hAnsi="微软雅黑" w:eastAsia="微软雅黑" w:cs="宋体"/>
          <w:color w:val="333333"/>
          <w:kern w:val="36"/>
          <w:sz w:val="36"/>
          <w:szCs w:val="36"/>
        </w:rPr>
      </w:pPr>
      <w:r>
        <w:rPr>
          <w:rFonts w:hint="eastAsia" w:ascii="微软雅黑" w:hAnsi="微软雅黑" w:eastAsia="微软雅黑" w:cs="宋体"/>
          <w:color w:val="333333"/>
          <w:kern w:val="36"/>
          <w:sz w:val="36"/>
          <w:szCs w:val="36"/>
        </w:rPr>
        <w:t>年  度  报  告</w:t>
      </w:r>
    </w:p>
    <w:p>
      <w:pPr>
        <w:ind w:firstLine="630" w:firstLineChars="300"/>
        <w:rPr>
          <w:rFonts w:ascii="Times New Roman" w:hAnsi="Times New Roman" w:eastAsia="仿宋_GB2312" w:cs="Times New Roman"/>
          <w:sz w:val="32"/>
          <w:szCs w:val="32"/>
        </w:rPr>
      </w:pPr>
      <w:r>
        <w:t>本报告依据《中华人民共和国政府信息公开条例》（国务院令第711号，以下简称新《条例》）、《</w:t>
      </w:r>
      <w:r>
        <w:rPr>
          <w:rFonts w:hint="eastAsia" w:cs="仿宋_GB2312"/>
        </w:rPr>
        <w:t>六安市政务公开办公室关于做好政府信息公开年度报告编制和发布工作的通知</w:t>
      </w:r>
      <w:r>
        <w:t>》（</w:t>
      </w:r>
      <w:r>
        <w:rPr>
          <w:rFonts w:hint="eastAsia" w:cs="仿宋_GB2312"/>
        </w:rPr>
        <w:t>六政务公开办〔2021〕64号</w:t>
      </w:r>
      <w:r>
        <w:t>）和《</w:t>
      </w:r>
      <w:r>
        <w:rPr>
          <w:rFonts w:hint="eastAsia" w:cs="方正小标宋简体"/>
        </w:rPr>
        <w:t>金寨县政务公开办公室关于做好政府信息公开年度报告编制和发布工作的通知</w:t>
      </w:r>
      <w:r>
        <w:t>》（</w:t>
      </w:r>
      <w:bookmarkStart w:id="0" w:name="文号"/>
      <w:r>
        <w:rPr>
          <w:rFonts w:hint="eastAsia" w:cs="Times New Roman"/>
        </w:rPr>
        <w:t>金政公开〔2021〕28号</w:t>
      </w:r>
      <w:bookmarkEnd w:id="0"/>
      <w:r>
        <w:t>）文件要求编制而成。报告主要包括：总体情况、主动公开</w:t>
      </w:r>
      <w:r>
        <w:rPr>
          <w:rFonts w:hint="eastAsia"/>
        </w:rPr>
        <w:t>政府信息</w:t>
      </w:r>
      <w:r>
        <w:t>情况、</w:t>
      </w:r>
      <w:r>
        <w:rPr>
          <w:rFonts w:hint="eastAsia"/>
        </w:rPr>
        <w:t>收到和处理政府信息公开申请情况</w:t>
      </w:r>
      <w:r>
        <w:t>、政府信息公开行政复议及行政诉讼情况、工作存在的主要问题及改进情况和其他需要报告的事项。本报告中</w:t>
      </w:r>
      <w:r>
        <w:rPr>
          <w:rFonts w:hint="eastAsia"/>
        </w:rPr>
        <w:t>所列信息公开</w:t>
      </w:r>
      <w:r>
        <w:t>数据统计期限为202</w:t>
      </w:r>
      <w:r>
        <w:rPr>
          <w:rFonts w:hint="eastAsia"/>
        </w:rPr>
        <w:t>1</w:t>
      </w:r>
      <w:r>
        <w:t>年1月1日至12月31日</w:t>
      </w:r>
      <w:r>
        <w:rPr>
          <w:rFonts w:hint="eastAsia"/>
        </w:rPr>
        <w:t>止</w:t>
      </w:r>
      <w:r>
        <w:t>，</w:t>
      </w:r>
      <w:r>
        <w:rPr>
          <w:rFonts w:hint="eastAsia"/>
        </w:rPr>
        <w:t>本</w:t>
      </w:r>
      <w:r>
        <w:t>报告的电子版可在金寨县</w:t>
      </w:r>
      <w:r>
        <w:rPr>
          <w:rFonts w:hint="eastAsia"/>
        </w:rPr>
        <w:t>政府门户网站（</w:t>
      </w:r>
      <w:r>
        <w:fldChar w:fldCharType="begin"/>
      </w:r>
      <w:r>
        <w:instrText xml:space="preserve"> HYPERLINK "https://www.ahjinzhai.gov.cn/" </w:instrText>
      </w:r>
      <w:r>
        <w:fldChar w:fldCharType="separate"/>
      </w:r>
      <w:r>
        <w:t>https://www.ahjinzhai.gov.cn/</w:t>
      </w:r>
      <w:r>
        <w:fldChar w:fldCharType="end"/>
      </w:r>
      <w:r>
        <w:rPr>
          <w:rFonts w:hint="eastAsia"/>
        </w:rPr>
        <w:t>）      和金寨县农业农村局部门网站（</w:t>
      </w:r>
      <w:r>
        <w:t>https://www.ahjinzhai.gov.cn/public/column/6596431?type=4&amp;action=l</w:t>
      </w:r>
      <w:r>
        <w:rPr>
          <w:b/>
          <w:color w:val="333333"/>
          <w:kern w:val="0"/>
        </w:rPr>
        <w:t>ist</w:t>
      </w:r>
      <w:r>
        <w:rPr>
          <w:rFonts w:hint="eastAsia"/>
          <w:b/>
          <w:color w:val="333333"/>
          <w:kern w:val="0"/>
        </w:rPr>
        <w:t>）</w:t>
      </w:r>
      <w:r>
        <w:rPr>
          <w:rFonts w:hint="eastAsia"/>
          <w:color w:val="333333"/>
          <w:kern w:val="0"/>
        </w:rPr>
        <w:t>查阅或</w:t>
      </w:r>
      <w:r>
        <w:t>下载。如对本报告有任何疑问，请与</w:t>
      </w:r>
      <w:r>
        <w:rPr>
          <w:rFonts w:hint="eastAsia"/>
        </w:rPr>
        <w:t>金寨县农业农村局</w:t>
      </w:r>
      <w:r>
        <w:t>办公室联系（地址：</w:t>
      </w:r>
      <w:r>
        <w:rPr>
          <w:rFonts w:hint="eastAsia"/>
          <w:color w:val="000000"/>
          <w:shd w:val="clear" w:color="auto" w:fill="FFFFFF"/>
        </w:rPr>
        <w:t>金寨县残疾人联合会大楼六楼</w:t>
      </w:r>
      <w:r>
        <w:rPr>
          <w:rFonts w:hint="eastAsia"/>
          <w:color w:val="333333"/>
          <w:kern w:val="0"/>
        </w:rPr>
        <w:t>，电话：0564-7356678，邮编：237300）。</w:t>
      </w:r>
    </w:p>
    <w:p>
      <w:pPr>
        <w:ind w:firstLine="420" w:firstLineChars="200"/>
        <w:rPr>
          <w:kern w:val="0"/>
        </w:rPr>
      </w:pPr>
      <w:r>
        <w:rPr>
          <w:rFonts w:hint="eastAsia"/>
          <w:kern w:val="0"/>
        </w:rPr>
        <w:t>一、总体情况</w:t>
      </w:r>
    </w:p>
    <w:p>
      <w:pPr>
        <w:ind w:firstLine="315" w:firstLineChars="150"/>
        <w:rPr>
          <w:rFonts w:cs="宋体"/>
          <w:kern w:val="0"/>
        </w:rPr>
      </w:pPr>
      <w:r>
        <w:rPr>
          <w:rFonts w:hint="eastAsia" w:cs="宋体"/>
          <w:kern w:val="0"/>
        </w:rPr>
        <w:t>2021年，金寨县农业农村局</w:t>
      </w:r>
      <w:r>
        <w:rPr>
          <w:rFonts w:hint="eastAsia"/>
          <w:shd w:val="clear" w:color="auto" w:fill="FFFFFF"/>
        </w:rPr>
        <w:t>认真贯彻落实新</w:t>
      </w:r>
      <w:r>
        <w:t>《</w:t>
      </w:r>
      <w:r>
        <w:rPr>
          <w:rFonts w:hint="eastAsia"/>
          <w:shd w:val="clear" w:color="auto" w:fill="FFFFFF"/>
        </w:rPr>
        <w:t>条例</w:t>
      </w:r>
      <w:r>
        <w:t>》</w:t>
      </w:r>
      <w:r>
        <w:rPr>
          <w:rFonts w:hint="eastAsia"/>
          <w:shd w:val="clear" w:color="auto" w:fill="FFFFFF"/>
        </w:rPr>
        <w:t>，按照市、县关于做好政务公开工作的部署安排，加强组织领导，建立健全政府信息公开制度，规范梳理政府信息公开目录和指南，全面推进基层政务公开标准</w:t>
      </w:r>
      <w:r>
        <w:rPr>
          <w:rFonts w:hint="eastAsia"/>
          <w:u w:val="single"/>
          <w:shd w:val="clear" w:color="auto" w:fill="FFFFFF"/>
        </w:rPr>
        <w:t>化</w:t>
      </w:r>
      <w:r>
        <w:rPr>
          <w:rFonts w:hint="eastAsia"/>
          <w:shd w:val="clear" w:color="auto" w:fill="FFFFFF"/>
        </w:rPr>
        <w:t>规范化，不断增强政府信息公开实效，较好地完成了各项重点工作的信息公开工作。</w:t>
      </w:r>
    </w:p>
    <w:p>
      <w:pPr>
        <w:ind w:firstLine="315" w:firstLineChars="150"/>
        <w:rPr>
          <w:color w:val="333333"/>
        </w:rPr>
      </w:pPr>
      <w:r>
        <w:rPr>
          <w:rFonts w:hint="eastAsia"/>
          <w:shd w:val="clear" w:color="auto" w:fill="FFFFFF"/>
        </w:rPr>
        <w:t>(一)</w:t>
      </w:r>
      <w:r>
        <w:rPr>
          <w:shd w:val="clear" w:color="auto" w:fill="FFFFFF"/>
        </w:rPr>
        <w:t>主动公开情况。</w:t>
      </w:r>
    </w:p>
    <w:p>
      <w:pPr>
        <w:ind w:firstLine="420" w:firstLineChars="200"/>
        <w:rPr>
          <w:color w:val="333333"/>
        </w:rPr>
      </w:pPr>
      <w:r>
        <w:rPr>
          <w:rFonts w:hint="eastAsia"/>
          <w:shd w:val="clear" w:color="auto" w:fill="FFFFFF"/>
        </w:rPr>
        <w:t>一</w:t>
      </w:r>
      <w:r>
        <w:rPr>
          <w:shd w:val="clear" w:color="auto" w:fill="FFFFFF"/>
        </w:rPr>
        <w:t>是</w:t>
      </w:r>
      <w:r>
        <w:rPr>
          <w:rFonts w:hint="eastAsia"/>
          <w:shd w:val="clear" w:color="auto" w:fill="FFFFFF"/>
        </w:rPr>
        <w:t>在</w:t>
      </w:r>
      <w:r>
        <w:rPr>
          <w:shd w:val="clear" w:color="auto" w:fill="FFFFFF"/>
        </w:rPr>
        <w:t>决策公开中，做好重大决策预公开和决策草案征求意见工作;在执行和结果公开中，加大以公开促落实、促效果;在管理和服务公开中，做好清单发布和动态调整工作，集中向社会公开行政执法职责、执法依据、执法程序、监督途径和执法结果等信息;</w:t>
      </w:r>
    </w:p>
    <w:p>
      <w:pPr>
        <w:ind w:firstLine="420" w:firstLineChars="200"/>
        <w:rPr>
          <w:rFonts w:cs="Arial"/>
          <w:shd w:val="clear" w:color="auto" w:fill="FFFFFF"/>
        </w:rPr>
      </w:pPr>
      <w:r>
        <w:rPr>
          <w:rFonts w:hint="eastAsia" w:cs="Arial"/>
          <w:shd w:val="clear" w:color="auto" w:fill="FFFFFF"/>
        </w:rPr>
        <w:t>二</w:t>
      </w:r>
      <w:r>
        <w:rPr>
          <w:rFonts w:cs="Arial"/>
          <w:shd w:val="clear" w:color="auto" w:fill="FFFFFF"/>
        </w:rPr>
        <w:t>是深化重点领域，注重高质量公开。</w:t>
      </w:r>
      <w:r>
        <w:rPr>
          <w:rFonts w:hint="eastAsia"/>
          <w:color w:val="000000"/>
          <w:shd w:val="clear" w:color="auto" w:fill="FFFFFF"/>
        </w:rPr>
        <w:t>重点领域按季度公开我县农村土地承包经营权流转情况、政策出台情况、奖补情况。</w:t>
      </w:r>
      <w:r>
        <w:rPr>
          <w:rFonts w:cs="Arial"/>
          <w:shd w:val="clear" w:color="auto" w:fill="FFFFFF"/>
        </w:rPr>
        <w:t>做好部门项目公开、财政预决算、三公经费等财政信息公开</w:t>
      </w:r>
      <w:r>
        <w:rPr>
          <w:rFonts w:hint="eastAsia" w:cs="Arial"/>
          <w:shd w:val="clear" w:color="auto" w:fill="FFFFFF"/>
        </w:rPr>
        <w:t>等</w:t>
      </w:r>
      <w:r>
        <w:rPr>
          <w:rFonts w:cs="Arial"/>
          <w:shd w:val="clear" w:color="auto" w:fill="FFFFFF"/>
        </w:rPr>
        <w:t>。202</w:t>
      </w:r>
      <w:r>
        <w:rPr>
          <w:rFonts w:hint="eastAsia" w:cs="Arial"/>
          <w:shd w:val="clear" w:color="auto" w:fill="FFFFFF"/>
        </w:rPr>
        <w:t>1</w:t>
      </w:r>
      <w:r>
        <w:rPr>
          <w:rFonts w:cs="Arial"/>
          <w:shd w:val="clear" w:color="auto" w:fill="FFFFFF"/>
        </w:rPr>
        <w:t>年，我局主动公开信息</w:t>
      </w:r>
      <w:r>
        <w:rPr>
          <w:rFonts w:hint="eastAsia" w:cs="Arial"/>
          <w:shd w:val="clear" w:color="auto" w:fill="FFFFFF"/>
        </w:rPr>
        <w:t>585</w:t>
      </w:r>
      <w:r>
        <w:rPr>
          <w:rFonts w:cs="Arial"/>
          <w:shd w:val="clear" w:color="auto" w:fill="FFFFFF"/>
        </w:rPr>
        <w:t>条</w:t>
      </w:r>
      <w:r>
        <w:rPr>
          <w:rFonts w:hint="eastAsia"/>
          <w:color w:val="333333"/>
        </w:rPr>
        <w:t>，重点领域公开19条。</w:t>
      </w:r>
    </w:p>
    <w:p>
      <w:pPr>
        <w:ind w:firstLine="315" w:firstLineChars="150"/>
        <w:rPr>
          <w:shd w:val="clear" w:color="auto" w:fill="FFFFFF"/>
        </w:rPr>
      </w:pPr>
      <w:r>
        <w:rPr>
          <w:rFonts w:hint="eastAsia"/>
        </w:rPr>
        <w:t>三是深化“放管服”改革 优化营商环境，服务“六稳六保”，继续推进政务公开“六提六促”专项行动，提升政务公开两化试点工作。加强“放管服”改革 进一步优化营商环境，</w:t>
      </w:r>
      <w:r>
        <w:t>切实加强事中事后监管，不断深化双随机一公开工作</w:t>
      </w:r>
      <w:r>
        <w:rPr>
          <w:rFonts w:hint="eastAsia"/>
        </w:rPr>
        <w:t>。强力推进政务公开“六提六促”活动，按照相关管理制度的要求， 对政务信息系统内的公开信息进行逐一审核，严格把关，对不合制</w:t>
      </w:r>
      <w:r>
        <w:rPr>
          <w:rFonts w:hint="eastAsia"/>
          <w:shd w:val="clear" w:color="auto" w:fill="FFFFFF"/>
        </w:rPr>
        <w:t>度规定的信息立即删除等。扎实推进政务公开两化试点工作，建立专栏，更新各类涉农补贴申请指南、政策文件、监督渠道及办理结果信息104条。</w:t>
      </w:r>
    </w:p>
    <w:p>
      <w:pPr>
        <w:ind w:firstLine="210" w:firstLineChars="100"/>
      </w:pPr>
      <w:r>
        <w:rPr>
          <w:rFonts w:hint="eastAsia" w:cs="宋体"/>
          <w:color w:val="333333"/>
          <w:kern w:val="0"/>
        </w:rPr>
        <w:t>（二）</w:t>
      </w:r>
      <w:r>
        <w:rPr>
          <w:rFonts w:hint="eastAsia"/>
        </w:rPr>
        <w:t>依</w:t>
      </w:r>
      <w:r>
        <w:t>申请</w:t>
      </w:r>
      <w:r>
        <w:rPr>
          <w:rFonts w:hint="eastAsia"/>
        </w:rPr>
        <w:t>公开</w:t>
      </w:r>
    </w:p>
    <w:p>
      <w:pPr>
        <w:ind w:firstLine="420" w:firstLineChars="200"/>
        <w:rPr>
          <w:kern w:val="0"/>
        </w:rPr>
      </w:pPr>
      <w:r>
        <w:rPr>
          <w:rFonts w:cs="Arial"/>
          <w:color w:val="212529"/>
          <w:shd w:val="clear" w:color="auto" w:fill="FFFFFF"/>
        </w:rPr>
        <w:t>202</w:t>
      </w:r>
      <w:r>
        <w:rPr>
          <w:rFonts w:hint="eastAsia" w:cs="Arial"/>
          <w:color w:val="212529"/>
          <w:shd w:val="clear" w:color="auto" w:fill="FFFFFF"/>
        </w:rPr>
        <w:t>1</w:t>
      </w:r>
      <w:r>
        <w:rPr>
          <w:rFonts w:cs="Arial"/>
          <w:color w:val="212529"/>
          <w:shd w:val="clear" w:color="auto" w:fill="FFFFFF"/>
        </w:rPr>
        <w:t>年，我局高度重视依申请公开工作</w:t>
      </w:r>
      <w:r>
        <w:rPr>
          <w:rFonts w:hint="eastAsia"/>
          <w:kern w:val="0"/>
        </w:rPr>
        <w:t>，不断完善依申请公开办理机制，规范答复流程，细化办理流程，保证程序正当</w:t>
      </w:r>
      <w:r>
        <w:rPr>
          <w:rFonts w:cs="Arial"/>
          <w:color w:val="212529"/>
          <w:shd w:val="clear" w:color="auto" w:fill="FFFFFF"/>
        </w:rPr>
        <w:t>，切实保障公众知情权，积极化解社会矛盾</w:t>
      </w:r>
      <w:r>
        <w:rPr>
          <w:rFonts w:hint="eastAsia" w:cs="Arial"/>
          <w:color w:val="212529"/>
          <w:shd w:val="clear" w:color="auto" w:fill="FFFFFF"/>
        </w:rPr>
        <w:t>。</w:t>
      </w:r>
      <w:r>
        <w:rPr>
          <w:rFonts w:hint="eastAsia"/>
          <w:kern w:val="0"/>
        </w:rPr>
        <w:t>2021年共收到政府信息依申请公开4件，均按要求线上线下及时回复。未产生行政复议和行政诉讼案件。并根据</w:t>
      </w:r>
      <w:r>
        <w:rPr>
          <w:rFonts w:hint="eastAsia"/>
          <w:color w:val="000000"/>
          <w:shd w:val="clear" w:color="auto" w:fill="FFFFFF"/>
        </w:rPr>
        <w:t>政务公开办要求，</w:t>
      </w:r>
      <w:r>
        <w:rPr>
          <w:rFonts w:hint="eastAsia"/>
          <w:color w:val="333333"/>
          <w:shd w:val="clear" w:color="auto" w:fill="FFFFFF"/>
        </w:rPr>
        <w:t>对本部门依申请公开信息及时迁移到依申请公开平台，同时明确归档主题，完善办理结果信息。</w:t>
      </w:r>
    </w:p>
    <w:p>
      <w:pPr>
        <w:ind w:firstLine="210" w:firstLineChars="100"/>
        <w:rPr>
          <w:kern w:val="0"/>
        </w:rPr>
      </w:pPr>
      <w:r>
        <w:rPr>
          <w:rFonts w:hint="eastAsia"/>
          <w:kern w:val="0"/>
        </w:rPr>
        <w:t>（三）政府信息管理</w:t>
      </w:r>
    </w:p>
    <w:p>
      <w:pPr>
        <w:ind w:firstLine="315" w:firstLineChars="150"/>
        <w:rPr>
          <w:kern w:val="0"/>
        </w:rPr>
      </w:pPr>
      <w:r>
        <w:rPr>
          <w:rFonts w:hint="eastAsia"/>
          <w:color w:val="000000"/>
          <w:shd w:val="clear" w:color="auto" w:fill="FFFFFF"/>
        </w:rPr>
        <w:t>根据《金寨县人民政府办公室关于修订完善政务公开相关制度的通知》（金政办秘〔2021〕28号），对政务公开相关制度进行修订完善</w:t>
      </w:r>
      <w:r>
        <w:rPr>
          <w:rFonts w:hint="eastAsia"/>
          <w:kern w:val="0"/>
        </w:rPr>
        <w:t>，</w:t>
      </w:r>
      <w:r>
        <w:rPr>
          <w:rFonts w:hint="eastAsia"/>
          <w:color w:val="000000"/>
        </w:rPr>
        <w:t>进一步规范公文公开属性审查流程，加强信息公开审查，严格执行保密审查制度，确保“涉密不上网、上网不涉密”。明确信息发布责任主体，注重信息公开质量，能够在信息形成或变更之日起20个工作日内进行发布或更新。</w:t>
      </w:r>
    </w:p>
    <w:p>
      <w:pPr>
        <w:ind w:firstLine="210" w:firstLineChars="100"/>
        <w:rPr>
          <w:kern w:val="0"/>
        </w:rPr>
      </w:pPr>
      <w:r>
        <w:rPr>
          <w:rFonts w:hint="eastAsia"/>
          <w:kern w:val="0"/>
        </w:rPr>
        <w:t>（四）政府信息公开平台建设情况</w:t>
      </w:r>
    </w:p>
    <w:p>
      <w:pPr>
        <w:ind w:firstLine="420" w:firstLineChars="200"/>
        <w:rPr>
          <w:kern w:val="0"/>
        </w:rPr>
      </w:pPr>
      <w:r>
        <w:rPr>
          <w:rFonts w:hint="eastAsia"/>
          <w:kern w:val="0"/>
          <w:shd w:val="clear" w:color="auto" w:fill="FFFFFF"/>
        </w:rPr>
        <w:t>深化网上政府信息公开。一是按照信息化建设的目标要求，积极维护信息公开平台。二是积极加强政务网和群众的互动活动。三是做好办事服务信息资源的整理发布工作。</w:t>
      </w:r>
    </w:p>
    <w:p>
      <w:pPr>
        <w:ind w:firstLine="315" w:firstLineChars="150"/>
        <w:rPr>
          <w:kern w:val="0"/>
        </w:rPr>
      </w:pPr>
      <w:r>
        <w:rPr>
          <w:rFonts w:hint="eastAsia"/>
          <w:kern w:val="0"/>
        </w:rPr>
        <w:t>（五）监督保障</w:t>
      </w:r>
    </w:p>
    <w:p>
      <w:pPr>
        <w:ind w:firstLine="420" w:firstLineChars="200"/>
        <w:rPr>
          <w:color w:val="3D3D3D"/>
          <w:shd w:val="clear" w:color="auto" w:fill="FFFFFF"/>
        </w:rPr>
      </w:pPr>
      <w:r>
        <w:rPr>
          <w:rFonts w:hint="eastAsia"/>
          <w:shd w:val="clear" w:color="auto" w:fill="FFFFFF"/>
        </w:rPr>
        <w:t>一是按照市县政务公开办要求，严格执行信息发布逐级审核机制，规范信息审核发布程序，及时、保质地进行信息公开，确保信息内容的准确性。二是针对第三方检测发现的问题及时整改</w:t>
      </w:r>
      <w:r>
        <w:rPr>
          <w:rFonts w:hint="eastAsia"/>
          <w:color w:val="3D3D3D"/>
          <w:shd w:val="clear" w:color="auto" w:fill="FFFFFF"/>
        </w:rPr>
        <w:t>.</w:t>
      </w:r>
    </w:p>
    <w:p>
      <w:pPr>
        <w:widowControl/>
        <w:shd w:val="clear" w:color="auto" w:fill="FFFFFF"/>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二、主动公开政府信息情况</w:t>
      </w:r>
    </w:p>
    <w:tbl>
      <w:tblPr>
        <w:tblStyle w:val="15"/>
        <w:tblW w:w="9315" w:type="dxa"/>
        <w:tblInd w:w="132" w:type="dxa"/>
        <w:shd w:val="clear" w:color="auto" w:fill="FFFFFF"/>
        <w:tblLayout w:type="autofit"/>
        <w:tblCellMar>
          <w:top w:w="15" w:type="dxa"/>
          <w:left w:w="15" w:type="dxa"/>
          <w:bottom w:w="15" w:type="dxa"/>
          <w:right w:w="15" w:type="dxa"/>
        </w:tblCellMar>
      </w:tblPr>
      <w:tblGrid>
        <w:gridCol w:w="3725"/>
        <w:gridCol w:w="2370"/>
        <w:gridCol w:w="1534"/>
        <w:gridCol w:w="1686"/>
      </w:tblGrid>
      <w:tr>
        <w:tblPrEx>
          <w:shd w:val="clear" w:color="auto" w:fill="FFFFFF"/>
        </w:tblPrEx>
        <w:trPr>
          <w:trHeight w:val="585" w:hRule="atLeast"/>
        </w:trPr>
        <w:tc>
          <w:tcPr>
            <w:tcW w:w="9315"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spacing w:line="330" w:lineRule="atLeast"/>
              <w:ind w:firstLine="3782" w:firstLineChars="1800"/>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第二十条第（一）项</w:t>
            </w:r>
          </w:p>
        </w:tc>
      </w:tr>
      <w:tr>
        <w:tblPrEx>
          <w:tblCellMar>
            <w:top w:w="15" w:type="dxa"/>
            <w:left w:w="15" w:type="dxa"/>
            <w:bottom w:w="15" w:type="dxa"/>
            <w:right w:w="15" w:type="dxa"/>
          </w:tblCellMar>
        </w:tblPrEx>
        <w:trPr>
          <w:trHeight w:val="1155" w:hRule="atLeast"/>
        </w:trPr>
        <w:tc>
          <w:tcPr>
            <w:tcW w:w="37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信息内容</w:t>
            </w:r>
          </w:p>
        </w:tc>
        <w:tc>
          <w:tcPr>
            <w:tcW w:w="23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ind w:firstLine="315" w:firstLineChars="150"/>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本年制发件数</w:t>
            </w:r>
          </w:p>
        </w:tc>
        <w:tc>
          <w:tcPr>
            <w:tcW w:w="15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本年废止件数</w:t>
            </w:r>
          </w:p>
        </w:tc>
        <w:tc>
          <w:tcPr>
            <w:tcW w:w="16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ind w:firstLine="105" w:firstLineChars="50"/>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现行有效件数</w:t>
            </w:r>
          </w:p>
        </w:tc>
      </w:tr>
      <w:tr>
        <w:tblPrEx>
          <w:tblCellMar>
            <w:top w:w="15" w:type="dxa"/>
            <w:left w:w="15" w:type="dxa"/>
            <w:bottom w:w="15" w:type="dxa"/>
            <w:right w:w="15" w:type="dxa"/>
          </w:tblCellMar>
        </w:tblPrEx>
        <w:trPr>
          <w:trHeight w:val="585" w:hRule="atLeast"/>
        </w:trPr>
        <w:tc>
          <w:tcPr>
            <w:tcW w:w="37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规章</w:t>
            </w:r>
          </w:p>
        </w:tc>
        <w:tc>
          <w:tcPr>
            <w:tcW w:w="23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ind w:firstLine="735" w:firstLineChars="350"/>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15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ind w:firstLine="525" w:firstLineChars="250"/>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16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ind w:firstLine="630" w:firstLineChars="300"/>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r>
      <w:tr>
        <w:tblPrEx>
          <w:tblCellMar>
            <w:top w:w="15" w:type="dxa"/>
            <w:left w:w="15" w:type="dxa"/>
            <w:bottom w:w="15" w:type="dxa"/>
            <w:right w:w="15" w:type="dxa"/>
          </w:tblCellMar>
        </w:tblPrEx>
        <w:trPr>
          <w:trHeight w:val="585" w:hRule="atLeast"/>
        </w:trPr>
        <w:tc>
          <w:tcPr>
            <w:tcW w:w="37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规范性文件</w:t>
            </w:r>
          </w:p>
        </w:tc>
        <w:tc>
          <w:tcPr>
            <w:tcW w:w="23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ind w:firstLine="735" w:firstLineChars="350"/>
              <w:rPr>
                <w:rFonts w:hint="eastAsia" w:ascii="微软雅黑" w:hAnsi="微软雅黑" w:eastAsia="微软雅黑" w:cs="宋体"/>
                <w:b/>
                <w:color w:val="333333"/>
                <w:kern w:val="0"/>
                <w:szCs w:val="21"/>
                <w:lang w:eastAsia="zh-CN"/>
              </w:rPr>
            </w:pPr>
            <w:r>
              <w:rPr>
                <w:rFonts w:hint="eastAsia" w:ascii="微软雅黑" w:hAnsi="微软雅黑" w:eastAsia="微软雅黑" w:cs="宋体"/>
                <w:b/>
                <w:color w:val="333333"/>
                <w:kern w:val="0"/>
                <w:szCs w:val="21"/>
                <w:lang w:val="en-US" w:eastAsia="zh-CN"/>
              </w:rPr>
              <w:t>1</w:t>
            </w:r>
          </w:p>
        </w:tc>
        <w:tc>
          <w:tcPr>
            <w:tcW w:w="15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ind w:firstLine="420" w:firstLineChars="200"/>
              <w:rPr>
                <w:rFonts w:hint="default" w:ascii="微软雅黑" w:hAnsi="微软雅黑" w:eastAsia="微软雅黑" w:cs="宋体"/>
                <w:b/>
                <w:color w:val="333333"/>
                <w:kern w:val="0"/>
                <w:szCs w:val="21"/>
                <w:lang w:val="en-US" w:eastAsia="zh-CN"/>
              </w:rPr>
            </w:pPr>
            <w:r>
              <w:rPr>
                <w:rFonts w:hint="eastAsia" w:ascii="微软雅黑" w:hAnsi="微软雅黑" w:eastAsia="微软雅黑" w:cs="宋体"/>
                <w:b/>
                <w:color w:val="333333"/>
                <w:kern w:val="0"/>
                <w:szCs w:val="21"/>
                <w:lang w:val="en-US" w:eastAsia="zh-CN"/>
              </w:rPr>
              <w:t>14</w:t>
            </w:r>
          </w:p>
        </w:tc>
        <w:tc>
          <w:tcPr>
            <w:tcW w:w="168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ind w:firstLine="630" w:firstLineChars="300"/>
              <w:rPr>
                <w:rFonts w:hint="eastAsia" w:ascii="微软雅黑" w:hAnsi="微软雅黑" w:eastAsia="微软雅黑" w:cs="宋体"/>
                <w:b/>
                <w:color w:val="333333"/>
                <w:kern w:val="0"/>
                <w:szCs w:val="21"/>
                <w:lang w:eastAsia="zh-CN"/>
              </w:rPr>
            </w:pPr>
            <w:r>
              <w:rPr>
                <w:rFonts w:hint="eastAsia" w:ascii="微软雅黑" w:hAnsi="微软雅黑" w:eastAsia="微软雅黑" w:cs="宋体"/>
                <w:b/>
                <w:color w:val="333333"/>
                <w:kern w:val="0"/>
                <w:szCs w:val="21"/>
                <w:lang w:val="en-US" w:eastAsia="zh-CN"/>
              </w:rPr>
              <w:t>1</w:t>
            </w:r>
            <w:bookmarkStart w:id="1" w:name="_GoBack"/>
            <w:bookmarkEnd w:id="1"/>
          </w:p>
        </w:tc>
      </w:tr>
      <w:tr>
        <w:tblPrEx>
          <w:tblCellMar>
            <w:top w:w="15" w:type="dxa"/>
            <w:left w:w="15" w:type="dxa"/>
            <w:bottom w:w="15" w:type="dxa"/>
            <w:right w:w="15" w:type="dxa"/>
          </w:tblCellMar>
        </w:tblPrEx>
        <w:trPr>
          <w:trHeight w:val="585" w:hRule="atLeast"/>
        </w:trPr>
        <w:tc>
          <w:tcPr>
            <w:tcW w:w="9315"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spacing w:line="330" w:lineRule="atLeast"/>
              <w:ind w:firstLine="3782" w:firstLineChars="1800"/>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第二十条第（五）项</w:t>
            </w:r>
          </w:p>
        </w:tc>
      </w:tr>
      <w:tr>
        <w:tblPrEx>
          <w:tblCellMar>
            <w:top w:w="15" w:type="dxa"/>
            <w:left w:w="15" w:type="dxa"/>
            <w:bottom w:w="15" w:type="dxa"/>
            <w:right w:w="15" w:type="dxa"/>
          </w:tblCellMar>
        </w:tblPrEx>
        <w:trPr>
          <w:trHeight w:val="630" w:hRule="atLeast"/>
        </w:trPr>
        <w:tc>
          <w:tcPr>
            <w:tcW w:w="37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信息内容</w:t>
            </w:r>
          </w:p>
        </w:tc>
        <w:tc>
          <w:tcPr>
            <w:tcW w:w="5590"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ind w:left="525" w:leftChars="250" w:firstLine="1261" w:firstLineChars="600"/>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本年度处理决定数量</w:t>
            </w:r>
          </w:p>
        </w:tc>
      </w:tr>
      <w:tr>
        <w:tblPrEx>
          <w:tblCellMar>
            <w:top w:w="15" w:type="dxa"/>
            <w:left w:w="15" w:type="dxa"/>
            <w:bottom w:w="15" w:type="dxa"/>
            <w:right w:w="15" w:type="dxa"/>
          </w:tblCellMar>
        </w:tblPrEx>
        <w:trPr>
          <w:trHeight w:val="585" w:hRule="atLeast"/>
        </w:trPr>
        <w:tc>
          <w:tcPr>
            <w:tcW w:w="3725"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30" w:lineRule="atLeas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行政许可</w:t>
            </w:r>
          </w:p>
        </w:tc>
        <w:tc>
          <w:tcPr>
            <w:tcW w:w="5590" w:type="dxa"/>
            <w:gridSpan w:val="3"/>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30" w:lineRule="atLeast"/>
              <w:ind w:firstLine="2836" w:firstLineChars="1350"/>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4</w:t>
            </w:r>
          </w:p>
        </w:tc>
      </w:tr>
      <w:tr>
        <w:tblPrEx>
          <w:tblCellMar>
            <w:top w:w="15" w:type="dxa"/>
            <w:left w:w="15" w:type="dxa"/>
            <w:bottom w:w="15" w:type="dxa"/>
            <w:right w:w="15" w:type="dxa"/>
          </w:tblCellMar>
        </w:tblPrEx>
        <w:trPr>
          <w:trHeight w:val="585" w:hRule="atLeast"/>
        </w:trPr>
        <w:tc>
          <w:tcPr>
            <w:tcW w:w="9315"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spacing w:line="330" w:lineRule="atLeast"/>
              <w:ind w:firstLine="3782" w:firstLineChars="1800"/>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第二十条第（六）项</w:t>
            </w:r>
          </w:p>
        </w:tc>
      </w:tr>
      <w:tr>
        <w:tblPrEx>
          <w:tblCellMar>
            <w:top w:w="15" w:type="dxa"/>
            <w:left w:w="15" w:type="dxa"/>
            <w:bottom w:w="15" w:type="dxa"/>
            <w:right w:w="15" w:type="dxa"/>
          </w:tblCellMar>
        </w:tblPrEx>
        <w:trPr>
          <w:trHeight w:val="630" w:hRule="atLeast"/>
        </w:trPr>
        <w:tc>
          <w:tcPr>
            <w:tcW w:w="37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信息内容</w:t>
            </w:r>
          </w:p>
        </w:tc>
        <w:tc>
          <w:tcPr>
            <w:tcW w:w="5590"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ind w:firstLine="1261" w:firstLineChars="600"/>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本年度处理决定数量</w:t>
            </w:r>
          </w:p>
        </w:tc>
      </w:tr>
      <w:tr>
        <w:tblPrEx>
          <w:tblCellMar>
            <w:top w:w="15" w:type="dxa"/>
            <w:left w:w="15" w:type="dxa"/>
            <w:bottom w:w="15" w:type="dxa"/>
            <w:right w:w="15" w:type="dxa"/>
          </w:tblCellMar>
        </w:tblPrEx>
        <w:trPr>
          <w:trHeight w:val="585" w:hRule="atLeast"/>
        </w:trPr>
        <w:tc>
          <w:tcPr>
            <w:tcW w:w="3725"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30" w:lineRule="atLeas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行政处罚</w:t>
            </w:r>
          </w:p>
        </w:tc>
        <w:tc>
          <w:tcPr>
            <w:tcW w:w="5590" w:type="dxa"/>
            <w:gridSpan w:val="3"/>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30" w:lineRule="atLeast"/>
              <w:ind w:firstLine="2206" w:firstLineChars="1050"/>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35</w:t>
            </w:r>
          </w:p>
        </w:tc>
      </w:tr>
      <w:tr>
        <w:tblPrEx>
          <w:tblCellMar>
            <w:top w:w="15" w:type="dxa"/>
            <w:left w:w="15" w:type="dxa"/>
            <w:bottom w:w="15" w:type="dxa"/>
            <w:right w:w="15" w:type="dxa"/>
          </w:tblCellMar>
        </w:tblPrEx>
        <w:trPr>
          <w:trHeight w:val="585" w:hRule="atLeast"/>
        </w:trPr>
        <w:tc>
          <w:tcPr>
            <w:tcW w:w="3725"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30" w:lineRule="atLeas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行政强制</w:t>
            </w:r>
          </w:p>
        </w:tc>
        <w:tc>
          <w:tcPr>
            <w:tcW w:w="5590" w:type="dxa"/>
            <w:gridSpan w:val="3"/>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30" w:lineRule="atLeast"/>
              <w:ind w:firstLine="2311" w:firstLineChars="1100"/>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r>
      <w:tr>
        <w:tblPrEx>
          <w:tblCellMar>
            <w:top w:w="15" w:type="dxa"/>
            <w:left w:w="15" w:type="dxa"/>
            <w:bottom w:w="15" w:type="dxa"/>
            <w:right w:w="15" w:type="dxa"/>
          </w:tblCellMar>
        </w:tblPrEx>
        <w:trPr>
          <w:trHeight w:val="585" w:hRule="atLeast"/>
        </w:trPr>
        <w:tc>
          <w:tcPr>
            <w:tcW w:w="9315"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spacing w:line="330" w:lineRule="atLeast"/>
              <w:ind w:firstLine="3782" w:firstLineChars="1800"/>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第二十条第（八）项</w:t>
            </w:r>
          </w:p>
        </w:tc>
      </w:tr>
      <w:tr>
        <w:tblPrEx>
          <w:tblCellMar>
            <w:top w:w="15" w:type="dxa"/>
            <w:left w:w="15" w:type="dxa"/>
            <w:bottom w:w="15" w:type="dxa"/>
            <w:right w:w="15" w:type="dxa"/>
          </w:tblCellMar>
        </w:tblPrEx>
        <w:trPr>
          <w:trHeight w:val="585" w:hRule="atLeast"/>
        </w:trPr>
        <w:tc>
          <w:tcPr>
            <w:tcW w:w="37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信息内容</w:t>
            </w:r>
          </w:p>
        </w:tc>
        <w:tc>
          <w:tcPr>
            <w:tcW w:w="5590" w:type="dxa"/>
            <w:gridSpan w:val="3"/>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widowControl/>
              <w:spacing w:line="330" w:lineRule="atLeast"/>
              <w:ind w:firstLine="1261" w:firstLineChars="600"/>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本年收费金额（单位：万元）</w:t>
            </w:r>
          </w:p>
        </w:tc>
      </w:tr>
      <w:tr>
        <w:tblPrEx>
          <w:tblCellMar>
            <w:top w:w="15" w:type="dxa"/>
            <w:left w:w="15" w:type="dxa"/>
            <w:bottom w:w="15" w:type="dxa"/>
            <w:right w:w="15" w:type="dxa"/>
          </w:tblCellMar>
        </w:tblPrEx>
        <w:trPr>
          <w:trHeight w:val="585" w:hRule="atLeast"/>
        </w:trPr>
        <w:tc>
          <w:tcPr>
            <w:tcW w:w="37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行政事业性收费</w:t>
            </w:r>
          </w:p>
        </w:tc>
        <w:tc>
          <w:tcPr>
            <w:tcW w:w="5590" w:type="dxa"/>
            <w:gridSpan w:val="3"/>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widowControl/>
              <w:spacing w:line="330" w:lineRule="atLeast"/>
              <w:ind w:firstLine="2311" w:firstLineChars="1100"/>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r>
    </w:tbl>
    <w:p>
      <w:pPr>
        <w:widowControl/>
        <w:shd w:val="clear" w:color="auto" w:fill="FFFFFF"/>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    三、收到和处理政府信息公开申请情况</w:t>
      </w:r>
    </w:p>
    <w:tbl>
      <w:tblPr>
        <w:tblStyle w:val="15"/>
        <w:tblW w:w="9360" w:type="dxa"/>
        <w:tblInd w:w="132" w:type="dxa"/>
        <w:shd w:val="clear" w:color="auto" w:fill="FFFFFF"/>
        <w:tblLayout w:type="autofit"/>
        <w:tblCellMar>
          <w:top w:w="15" w:type="dxa"/>
          <w:left w:w="15" w:type="dxa"/>
          <w:bottom w:w="15" w:type="dxa"/>
          <w:right w:w="15" w:type="dxa"/>
        </w:tblCellMar>
      </w:tblPr>
      <w:tblGrid>
        <w:gridCol w:w="1013"/>
        <w:gridCol w:w="1176"/>
        <w:gridCol w:w="2040"/>
        <w:gridCol w:w="594"/>
        <w:gridCol w:w="692"/>
        <w:gridCol w:w="819"/>
        <w:gridCol w:w="820"/>
        <w:gridCol w:w="819"/>
        <w:gridCol w:w="695"/>
        <w:gridCol w:w="692"/>
      </w:tblGrid>
      <w:tr>
        <w:tblPrEx>
          <w:shd w:val="clear" w:color="auto" w:fill="FFFFFF"/>
          <w:tblCellMar>
            <w:top w:w="15" w:type="dxa"/>
            <w:left w:w="15" w:type="dxa"/>
            <w:bottom w:w="15" w:type="dxa"/>
            <w:right w:w="15" w:type="dxa"/>
          </w:tblCellMar>
        </w:tblPrEx>
        <w:tc>
          <w:tcPr>
            <w:tcW w:w="4229" w:type="dxa"/>
            <w:gridSpan w:val="3"/>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（本列数据的勾稽关系为：第一项加第二项之和，等于第三项加第四项之和）</w:t>
            </w:r>
          </w:p>
        </w:tc>
        <w:tc>
          <w:tcPr>
            <w:tcW w:w="5131" w:type="dxa"/>
            <w:gridSpan w:val="7"/>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ind w:firstLine="2101" w:firstLineChars="1000"/>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申请人情况</w:t>
            </w:r>
          </w:p>
        </w:tc>
      </w:tr>
      <w:tr>
        <w:tblPrEx>
          <w:tblCellMar>
            <w:top w:w="15" w:type="dxa"/>
            <w:left w:w="15" w:type="dxa"/>
            <w:bottom w:w="15" w:type="dxa"/>
            <w:right w:w="15" w:type="dxa"/>
          </w:tblCellMar>
        </w:tblPrEx>
        <w:tc>
          <w:tcPr>
            <w:tcW w:w="4229" w:type="dxa"/>
            <w:gridSpan w:val="3"/>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rFonts w:ascii="微软雅黑" w:hAnsi="微软雅黑" w:eastAsia="微软雅黑" w:cs="宋体"/>
                <w:b/>
                <w:color w:val="333333"/>
                <w:kern w:val="0"/>
                <w:szCs w:val="21"/>
              </w:rPr>
            </w:pPr>
          </w:p>
        </w:tc>
        <w:tc>
          <w:tcPr>
            <w:tcW w:w="594"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自然人</w:t>
            </w:r>
          </w:p>
        </w:tc>
        <w:tc>
          <w:tcPr>
            <w:tcW w:w="3845"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ind w:firstLine="1261" w:firstLineChars="600"/>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法人或其他组织</w:t>
            </w:r>
          </w:p>
        </w:tc>
        <w:tc>
          <w:tcPr>
            <w:tcW w:w="692"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总计</w:t>
            </w:r>
          </w:p>
        </w:tc>
      </w:tr>
      <w:tr>
        <w:tblPrEx>
          <w:tblCellMar>
            <w:top w:w="15" w:type="dxa"/>
            <w:left w:w="15" w:type="dxa"/>
            <w:bottom w:w="15" w:type="dxa"/>
            <w:right w:w="15" w:type="dxa"/>
          </w:tblCellMar>
        </w:tblPrEx>
        <w:tc>
          <w:tcPr>
            <w:tcW w:w="4229" w:type="dxa"/>
            <w:gridSpan w:val="3"/>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widowControl/>
              <w:jc w:val="left"/>
              <w:rPr>
                <w:rFonts w:ascii="微软雅黑" w:hAnsi="微软雅黑" w:eastAsia="微软雅黑" w:cs="宋体"/>
                <w:b/>
                <w:color w:val="333333"/>
                <w:kern w:val="0"/>
                <w:szCs w:val="21"/>
              </w:rPr>
            </w:pPr>
          </w:p>
        </w:tc>
        <w:tc>
          <w:tcPr>
            <w:tcW w:w="594" w:type="dxa"/>
            <w:vMerge w:val="continue"/>
            <w:tcBorders>
              <w:top w:val="nil"/>
              <w:left w:val="nil"/>
              <w:bottom w:val="single" w:color="auto" w:sz="8" w:space="0"/>
              <w:right w:val="single" w:color="auto" w:sz="8" w:space="0"/>
            </w:tcBorders>
            <w:shd w:val="clear" w:color="auto" w:fill="FFFFFF"/>
            <w:vAlign w:val="center"/>
          </w:tcPr>
          <w:p>
            <w:pPr>
              <w:widowControl/>
              <w:spacing w:line="360" w:lineRule="exact"/>
              <w:jc w:val="left"/>
              <w:rPr>
                <w:rFonts w:ascii="微软雅黑" w:hAnsi="微软雅黑" w:eastAsia="微软雅黑" w:cs="宋体"/>
                <w:b/>
                <w:color w:val="333333"/>
                <w:kern w:val="0"/>
                <w:szCs w:val="21"/>
              </w:rPr>
            </w:pP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商业企业</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科研机构</w:t>
            </w:r>
          </w:p>
        </w:tc>
        <w:tc>
          <w:tcPr>
            <w:tcW w:w="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社会公益组织</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法律服务机构</w:t>
            </w:r>
          </w:p>
        </w:tc>
        <w:tc>
          <w:tcPr>
            <w:tcW w:w="6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其他</w:t>
            </w:r>
          </w:p>
        </w:tc>
        <w:tc>
          <w:tcPr>
            <w:tcW w:w="0" w:type="auto"/>
            <w:vMerge w:val="continue"/>
            <w:tcBorders>
              <w:top w:val="nil"/>
              <w:left w:val="nil"/>
              <w:bottom w:val="single" w:color="auto" w:sz="8" w:space="0"/>
              <w:right w:val="single" w:color="auto" w:sz="8" w:space="0"/>
            </w:tcBorders>
            <w:shd w:val="clear" w:color="auto" w:fill="FFFFFF"/>
            <w:vAlign w:val="center"/>
          </w:tcPr>
          <w:p>
            <w:pPr>
              <w:widowControl/>
              <w:jc w:val="left"/>
              <w:rPr>
                <w:rFonts w:ascii="微软雅黑" w:hAnsi="微软雅黑" w:eastAsia="微软雅黑" w:cs="宋体"/>
                <w:b/>
                <w:color w:val="333333"/>
                <w:kern w:val="0"/>
                <w:szCs w:val="21"/>
              </w:rPr>
            </w:pPr>
          </w:p>
        </w:tc>
      </w:tr>
      <w:tr>
        <w:tblPrEx>
          <w:tblCellMar>
            <w:top w:w="15" w:type="dxa"/>
            <w:left w:w="15" w:type="dxa"/>
            <w:bottom w:w="15" w:type="dxa"/>
            <w:right w:w="15" w:type="dxa"/>
          </w:tblCellMar>
        </w:tblPrEx>
        <w:tc>
          <w:tcPr>
            <w:tcW w:w="4229" w:type="dxa"/>
            <w:gridSpan w:val="3"/>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一、本年新收政府信息公开申请数量</w:t>
            </w:r>
          </w:p>
        </w:tc>
        <w:tc>
          <w:tcPr>
            <w:tcW w:w="5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4</w:t>
            </w:r>
          </w:p>
        </w:tc>
        <w:tc>
          <w:tcPr>
            <w:tcW w:w="6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30" w:lineRule="atLeast"/>
              <w:ind w:firstLine="210" w:firstLineChars="100"/>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1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30" w:lineRule="atLeast"/>
              <w:ind w:left="160" w:leftChars="76" w:firstLine="105" w:firstLineChars="50"/>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2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30" w:lineRule="atLeast"/>
              <w:ind w:firstLine="105" w:firstLineChars="50"/>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1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30" w:lineRule="atLeast"/>
              <w:ind w:firstLine="105" w:firstLineChars="50"/>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4</w:t>
            </w:r>
          </w:p>
        </w:tc>
      </w:tr>
      <w:tr>
        <w:tblPrEx>
          <w:tblCellMar>
            <w:top w:w="15" w:type="dxa"/>
            <w:left w:w="15" w:type="dxa"/>
            <w:bottom w:w="15" w:type="dxa"/>
            <w:right w:w="15" w:type="dxa"/>
          </w:tblCellMar>
        </w:tblPrEx>
        <w:tc>
          <w:tcPr>
            <w:tcW w:w="4229" w:type="dxa"/>
            <w:gridSpan w:val="3"/>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二、上年结转政府信息公开申请数量</w:t>
            </w:r>
          </w:p>
        </w:tc>
        <w:tc>
          <w:tcPr>
            <w:tcW w:w="5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1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30" w:lineRule="atLeast"/>
              <w:ind w:firstLine="210" w:firstLineChars="100"/>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2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30" w:lineRule="atLeast"/>
              <w:ind w:firstLine="105" w:firstLineChars="50"/>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1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30" w:lineRule="atLeast"/>
              <w:ind w:firstLine="105" w:firstLineChars="50"/>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30" w:lineRule="atLeast"/>
              <w:ind w:firstLine="105" w:firstLineChars="50"/>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r>
      <w:tr>
        <w:tblPrEx>
          <w:tblCellMar>
            <w:top w:w="15" w:type="dxa"/>
            <w:left w:w="15" w:type="dxa"/>
            <w:bottom w:w="15" w:type="dxa"/>
            <w:right w:w="15" w:type="dxa"/>
          </w:tblCellMar>
        </w:tblPrEx>
        <w:tc>
          <w:tcPr>
            <w:tcW w:w="1013" w:type="dxa"/>
            <w:vMerge w:val="restart"/>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三、本年度办理结果</w:t>
            </w:r>
          </w:p>
        </w:tc>
        <w:tc>
          <w:tcPr>
            <w:tcW w:w="3216" w:type="dxa"/>
            <w:gridSpan w:val="2"/>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（一）予以公开</w:t>
            </w:r>
          </w:p>
        </w:tc>
        <w:tc>
          <w:tcPr>
            <w:tcW w:w="5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ind w:firstLine="105" w:firstLineChars="50"/>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4</w:t>
            </w:r>
          </w:p>
        </w:tc>
        <w:tc>
          <w:tcPr>
            <w:tcW w:w="6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30" w:lineRule="atLeast"/>
              <w:ind w:firstLine="210" w:firstLineChars="100"/>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1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2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1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30" w:lineRule="atLeast"/>
              <w:ind w:firstLine="105" w:firstLineChars="50"/>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30" w:lineRule="atLeast"/>
              <w:ind w:firstLine="105" w:firstLineChars="50"/>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4</w:t>
            </w:r>
          </w:p>
        </w:tc>
      </w:tr>
      <w:tr>
        <w:tblPrEx>
          <w:tblCellMar>
            <w:top w:w="15" w:type="dxa"/>
            <w:left w:w="15" w:type="dxa"/>
            <w:bottom w:w="15" w:type="dxa"/>
            <w:right w:w="15" w:type="dxa"/>
          </w:tblCellMar>
        </w:tblPrEx>
        <w:tc>
          <w:tcPr>
            <w:tcW w:w="0" w:type="auto"/>
            <w:vMerge w:val="continue"/>
            <w:tcBorders>
              <w:top w:val="nil"/>
              <w:left w:val="single" w:color="auto" w:sz="8" w:space="0"/>
              <w:bottom w:val="single" w:color="auto" w:sz="8" w:space="0"/>
              <w:right w:val="single" w:color="auto" w:sz="8" w:space="0"/>
            </w:tcBorders>
            <w:shd w:val="clear" w:color="auto" w:fill="FFFFFF"/>
            <w:vAlign w:val="center"/>
          </w:tcPr>
          <w:p>
            <w:pPr>
              <w:widowControl/>
              <w:spacing w:line="360" w:lineRule="exact"/>
              <w:jc w:val="left"/>
              <w:rPr>
                <w:rFonts w:ascii="微软雅黑" w:hAnsi="微软雅黑" w:eastAsia="微软雅黑" w:cs="宋体"/>
                <w:b/>
                <w:color w:val="333333"/>
                <w:kern w:val="0"/>
                <w:szCs w:val="21"/>
              </w:rPr>
            </w:pPr>
          </w:p>
        </w:tc>
        <w:tc>
          <w:tcPr>
            <w:tcW w:w="3216" w:type="dxa"/>
            <w:gridSpan w:val="2"/>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（二）部分公开（区分处理的，只计这一情形，不计其他情形）</w:t>
            </w:r>
          </w:p>
        </w:tc>
        <w:tc>
          <w:tcPr>
            <w:tcW w:w="5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1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2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1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30" w:lineRule="atLeast"/>
              <w:ind w:firstLine="105" w:firstLineChars="50"/>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30" w:lineRule="atLeast"/>
              <w:ind w:firstLine="105" w:firstLineChars="50"/>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r>
      <w:tr>
        <w:tblPrEx>
          <w:tblCellMar>
            <w:top w:w="15" w:type="dxa"/>
            <w:left w:w="15" w:type="dxa"/>
            <w:bottom w:w="15" w:type="dxa"/>
            <w:right w:w="15" w:type="dxa"/>
          </w:tblCellMar>
        </w:tblPrEx>
        <w:tc>
          <w:tcPr>
            <w:tcW w:w="0" w:type="auto"/>
            <w:vMerge w:val="continue"/>
            <w:tcBorders>
              <w:top w:val="nil"/>
              <w:left w:val="single" w:color="auto" w:sz="8" w:space="0"/>
              <w:bottom w:val="single" w:color="auto" w:sz="8" w:space="0"/>
              <w:right w:val="single" w:color="auto" w:sz="8" w:space="0"/>
            </w:tcBorders>
            <w:shd w:val="clear" w:color="auto" w:fill="FFFFFF"/>
            <w:vAlign w:val="center"/>
          </w:tcPr>
          <w:p>
            <w:pPr>
              <w:widowControl/>
              <w:spacing w:line="360" w:lineRule="exact"/>
              <w:jc w:val="left"/>
              <w:rPr>
                <w:rFonts w:ascii="微软雅黑" w:hAnsi="微软雅黑" w:eastAsia="微软雅黑" w:cs="宋体"/>
                <w:b/>
                <w:color w:val="333333"/>
                <w:kern w:val="0"/>
                <w:szCs w:val="21"/>
              </w:rPr>
            </w:pPr>
          </w:p>
        </w:tc>
        <w:tc>
          <w:tcPr>
            <w:tcW w:w="117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（三）不予公开</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1.属于国家秘密</w:t>
            </w:r>
          </w:p>
        </w:tc>
        <w:tc>
          <w:tcPr>
            <w:tcW w:w="5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r>
      <w:tr>
        <w:tblPrEx>
          <w:tblCellMar>
            <w:top w:w="15" w:type="dxa"/>
            <w:left w:w="15" w:type="dxa"/>
            <w:bottom w:w="15" w:type="dxa"/>
            <w:right w:w="15" w:type="dxa"/>
          </w:tblCellMar>
        </w:tblPrEx>
        <w:tc>
          <w:tcPr>
            <w:tcW w:w="0" w:type="auto"/>
            <w:vMerge w:val="continue"/>
            <w:tcBorders>
              <w:top w:val="nil"/>
              <w:left w:val="single" w:color="auto" w:sz="8" w:space="0"/>
              <w:bottom w:val="single" w:color="auto" w:sz="8" w:space="0"/>
              <w:right w:val="single" w:color="auto" w:sz="8" w:space="0"/>
            </w:tcBorders>
            <w:shd w:val="clear" w:color="auto" w:fill="FFFFFF"/>
            <w:vAlign w:val="center"/>
          </w:tcPr>
          <w:p>
            <w:pPr>
              <w:widowControl/>
              <w:spacing w:line="360" w:lineRule="exact"/>
              <w:jc w:val="left"/>
              <w:rPr>
                <w:rFonts w:ascii="微软雅黑" w:hAnsi="微软雅黑" w:eastAsia="微软雅黑" w:cs="宋体"/>
                <w:b/>
                <w:color w:val="333333"/>
                <w:kern w:val="0"/>
                <w:szCs w:val="21"/>
              </w:rPr>
            </w:pPr>
          </w:p>
        </w:tc>
        <w:tc>
          <w:tcPr>
            <w:tcW w:w="0" w:type="auto"/>
            <w:vMerge w:val="continue"/>
            <w:tcBorders>
              <w:top w:val="nil"/>
              <w:left w:val="nil"/>
              <w:bottom w:val="single" w:color="auto" w:sz="8" w:space="0"/>
              <w:right w:val="single" w:color="auto" w:sz="8" w:space="0"/>
            </w:tcBorders>
            <w:shd w:val="clear" w:color="auto" w:fill="FFFFFF"/>
            <w:vAlign w:val="center"/>
          </w:tcPr>
          <w:p>
            <w:pPr>
              <w:widowControl/>
              <w:spacing w:line="360" w:lineRule="exact"/>
              <w:jc w:val="left"/>
              <w:rPr>
                <w:rFonts w:ascii="微软雅黑" w:hAnsi="微软雅黑" w:eastAsia="微软雅黑" w:cs="宋体"/>
                <w:b/>
                <w:color w:val="333333"/>
                <w:kern w:val="0"/>
                <w:szCs w:val="21"/>
              </w:rPr>
            </w:pP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2.其他法律行政法规禁止公开</w:t>
            </w:r>
          </w:p>
        </w:tc>
        <w:tc>
          <w:tcPr>
            <w:tcW w:w="5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r>
      <w:tr>
        <w:tblPrEx>
          <w:tblCellMar>
            <w:top w:w="15" w:type="dxa"/>
            <w:left w:w="15" w:type="dxa"/>
            <w:bottom w:w="15" w:type="dxa"/>
            <w:right w:w="15" w:type="dxa"/>
          </w:tblCellMar>
        </w:tblPrEx>
        <w:tc>
          <w:tcPr>
            <w:tcW w:w="0" w:type="auto"/>
            <w:vMerge w:val="continue"/>
            <w:tcBorders>
              <w:top w:val="nil"/>
              <w:left w:val="single" w:color="auto" w:sz="8" w:space="0"/>
              <w:bottom w:val="single" w:color="auto" w:sz="8" w:space="0"/>
              <w:right w:val="single" w:color="auto" w:sz="8" w:space="0"/>
            </w:tcBorders>
            <w:shd w:val="clear" w:color="auto" w:fill="FFFFFF"/>
            <w:vAlign w:val="center"/>
          </w:tcPr>
          <w:p>
            <w:pPr>
              <w:widowControl/>
              <w:spacing w:line="360" w:lineRule="exact"/>
              <w:jc w:val="left"/>
              <w:rPr>
                <w:rFonts w:ascii="微软雅黑" w:hAnsi="微软雅黑" w:eastAsia="微软雅黑" w:cs="宋体"/>
                <w:b/>
                <w:color w:val="333333"/>
                <w:kern w:val="0"/>
                <w:szCs w:val="21"/>
              </w:rPr>
            </w:pPr>
          </w:p>
        </w:tc>
        <w:tc>
          <w:tcPr>
            <w:tcW w:w="0" w:type="auto"/>
            <w:vMerge w:val="continue"/>
            <w:tcBorders>
              <w:top w:val="nil"/>
              <w:left w:val="nil"/>
              <w:bottom w:val="single" w:color="auto" w:sz="8" w:space="0"/>
              <w:right w:val="single" w:color="auto" w:sz="8" w:space="0"/>
            </w:tcBorders>
            <w:shd w:val="clear" w:color="auto" w:fill="FFFFFF"/>
            <w:vAlign w:val="center"/>
          </w:tcPr>
          <w:p>
            <w:pPr>
              <w:widowControl/>
              <w:spacing w:line="360" w:lineRule="exact"/>
              <w:jc w:val="left"/>
              <w:rPr>
                <w:rFonts w:ascii="微软雅黑" w:hAnsi="微软雅黑" w:eastAsia="微软雅黑" w:cs="宋体"/>
                <w:b/>
                <w:color w:val="333333"/>
                <w:kern w:val="0"/>
                <w:szCs w:val="21"/>
              </w:rPr>
            </w:pP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3.危及“三安全一稳定”</w:t>
            </w:r>
          </w:p>
        </w:tc>
        <w:tc>
          <w:tcPr>
            <w:tcW w:w="5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r>
      <w:tr>
        <w:tblPrEx>
          <w:tblCellMar>
            <w:top w:w="15" w:type="dxa"/>
            <w:left w:w="15" w:type="dxa"/>
            <w:bottom w:w="15" w:type="dxa"/>
            <w:right w:w="15" w:type="dxa"/>
          </w:tblCellMar>
        </w:tblPrEx>
        <w:tc>
          <w:tcPr>
            <w:tcW w:w="0" w:type="auto"/>
            <w:vMerge w:val="continue"/>
            <w:tcBorders>
              <w:top w:val="nil"/>
              <w:left w:val="single" w:color="auto" w:sz="8" w:space="0"/>
              <w:bottom w:val="single" w:color="auto" w:sz="8" w:space="0"/>
              <w:right w:val="single" w:color="auto" w:sz="8" w:space="0"/>
            </w:tcBorders>
            <w:shd w:val="clear" w:color="auto" w:fill="FFFFFF"/>
            <w:vAlign w:val="center"/>
          </w:tcPr>
          <w:p>
            <w:pPr>
              <w:widowControl/>
              <w:spacing w:line="360" w:lineRule="exact"/>
              <w:jc w:val="left"/>
              <w:rPr>
                <w:rFonts w:ascii="微软雅黑" w:hAnsi="微软雅黑" w:eastAsia="微软雅黑" w:cs="宋体"/>
                <w:b/>
                <w:color w:val="333333"/>
                <w:kern w:val="0"/>
                <w:szCs w:val="21"/>
              </w:rPr>
            </w:pPr>
          </w:p>
        </w:tc>
        <w:tc>
          <w:tcPr>
            <w:tcW w:w="0" w:type="auto"/>
            <w:vMerge w:val="continue"/>
            <w:tcBorders>
              <w:top w:val="nil"/>
              <w:left w:val="nil"/>
              <w:bottom w:val="single" w:color="auto" w:sz="8" w:space="0"/>
              <w:right w:val="single" w:color="auto" w:sz="8" w:space="0"/>
            </w:tcBorders>
            <w:shd w:val="clear" w:color="auto" w:fill="FFFFFF"/>
            <w:vAlign w:val="center"/>
          </w:tcPr>
          <w:p>
            <w:pPr>
              <w:widowControl/>
              <w:spacing w:line="360" w:lineRule="exact"/>
              <w:jc w:val="left"/>
              <w:rPr>
                <w:rFonts w:ascii="微软雅黑" w:hAnsi="微软雅黑" w:eastAsia="微软雅黑" w:cs="宋体"/>
                <w:b/>
                <w:color w:val="333333"/>
                <w:kern w:val="0"/>
                <w:szCs w:val="21"/>
              </w:rPr>
            </w:pP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4.保护第三方合法权益</w:t>
            </w:r>
          </w:p>
        </w:tc>
        <w:tc>
          <w:tcPr>
            <w:tcW w:w="5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r>
      <w:tr>
        <w:tblPrEx>
          <w:tblCellMar>
            <w:top w:w="15" w:type="dxa"/>
            <w:left w:w="15" w:type="dxa"/>
            <w:bottom w:w="15" w:type="dxa"/>
            <w:right w:w="15" w:type="dxa"/>
          </w:tblCellMar>
        </w:tblPrEx>
        <w:tc>
          <w:tcPr>
            <w:tcW w:w="0" w:type="auto"/>
            <w:vMerge w:val="continue"/>
            <w:tcBorders>
              <w:top w:val="nil"/>
              <w:left w:val="single" w:color="auto" w:sz="8" w:space="0"/>
              <w:bottom w:val="single" w:color="auto" w:sz="8" w:space="0"/>
              <w:right w:val="single" w:color="auto" w:sz="8" w:space="0"/>
            </w:tcBorders>
            <w:shd w:val="clear" w:color="auto" w:fill="FFFFFF"/>
            <w:vAlign w:val="center"/>
          </w:tcPr>
          <w:p>
            <w:pPr>
              <w:widowControl/>
              <w:spacing w:line="360" w:lineRule="exact"/>
              <w:jc w:val="left"/>
              <w:rPr>
                <w:rFonts w:ascii="微软雅黑" w:hAnsi="微软雅黑" w:eastAsia="微软雅黑" w:cs="宋体"/>
                <w:b/>
                <w:color w:val="333333"/>
                <w:kern w:val="0"/>
                <w:szCs w:val="21"/>
              </w:rPr>
            </w:pPr>
          </w:p>
        </w:tc>
        <w:tc>
          <w:tcPr>
            <w:tcW w:w="0" w:type="auto"/>
            <w:vMerge w:val="continue"/>
            <w:tcBorders>
              <w:top w:val="nil"/>
              <w:left w:val="nil"/>
              <w:bottom w:val="single" w:color="auto" w:sz="8" w:space="0"/>
              <w:right w:val="single" w:color="auto" w:sz="8" w:space="0"/>
            </w:tcBorders>
            <w:shd w:val="clear" w:color="auto" w:fill="FFFFFF"/>
            <w:vAlign w:val="center"/>
          </w:tcPr>
          <w:p>
            <w:pPr>
              <w:widowControl/>
              <w:spacing w:line="360" w:lineRule="exact"/>
              <w:jc w:val="left"/>
              <w:rPr>
                <w:rFonts w:ascii="微软雅黑" w:hAnsi="微软雅黑" w:eastAsia="微软雅黑" w:cs="宋体"/>
                <w:b/>
                <w:color w:val="333333"/>
                <w:kern w:val="0"/>
                <w:szCs w:val="21"/>
              </w:rPr>
            </w:pP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5.属于三类内部事务信息</w:t>
            </w:r>
          </w:p>
        </w:tc>
        <w:tc>
          <w:tcPr>
            <w:tcW w:w="5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r>
      <w:tr>
        <w:tblPrEx>
          <w:tblCellMar>
            <w:top w:w="15" w:type="dxa"/>
            <w:left w:w="15" w:type="dxa"/>
            <w:bottom w:w="15" w:type="dxa"/>
            <w:right w:w="15" w:type="dxa"/>
          </w:tblCellMar>
        </w:tblPrEx>
        <w:tc>
          <w:tcPr>
            <w:tcW w:w="0" w:type="auto"/>
            <w:vMerge w:val="continue"/>
            <w:tcBorders>
              <w:top w:val="nil"/>
              <w:left w:val="single" w:color="auto" w:sz="8" w:space="0"/>
              <w:bottom w:val="single" w:color="auto" w:sz="8" w:space="0"/>
              <w:right w:val="single" w:color="auto" w:sz="8" w:space="0"/>
            </w:tcBorders>
            <w:shd w:val="clear" w:color="auto" w:fill="FFFFFF"/>
            <w:vAlign w:val="center"/>
          </w:tcPr>
          <w:p>
            <w:pPr>
              <w:widowControl/>
              <w:spacing w:line="360" w:lineRule="exact"/>
              <w:jc w:val="left"/>
              <w:rPr>
                <w:rFonts w:ascii="微软雅黑" w:hAnsi="微软雅黑" w:eastAsia="微软雅黑" w:cs="宋体"/>
                <w:b/>
                <w:color w:val="333333"/>
                <w:kern w:val="0"/>
                <w:szCs w:val="21"/>
              </w:rPr>
            </w:pPr>
          </w:p>
        </w:tc>
        <w:tc>
          <w:tcPr>
            <w:tcW w:w="0" w:type="auto"/>
            <w:vMerge w:val="continue"/>
            <w:tcBorders>
              <w:top w:val="nil"/>
              <w:left w:val="nil"/>
              <w:bottom w:val="single" w:color="auto" w:sz="8" w:space="0"/>
              <w:right w:val="single" w:color="auto" w:sz="8" w:space="0"/>
            </w:tcBorders>
            <w:shd w:val="clear" w:color="auto" w:fill="FFFFFF"/>
            <w:vAlign w:val="center"/>
          </w:tcPr>
          <w:p>
            <w:pPr>
              <w:widowControl/>
              <w:spacing w:line="360" w:lineRule="exact"/>
              <w:jc w:val="left"/>
              <w:rPr>
                <w:rFonts w:ascii="微软雅黑" w:hAnsi="微软雅黑" w:eastAsia="微软雅黑" w:cs="宋体"/>
                <w:b/>
                <w:color w:val="333333"/>
                <w:kern w:val="0"/>
                <w:szCs w:val="21"/>
              </w:rPr>
            </w:pP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6.属于四类过程性信息</w:t>
            </w:r>
          </w:p>
        </w:tc>
        <w:tc>
          <w:tcPr>
            <w:tcW w:w="5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r>
      <w:tr>
        <w:tblPrEx>
          <w:tblCellMar>
            <w:top w:w="15" w:type="dxa"/>
            <w:left w:w="15" w:type="dxa"/>
            <w:bottom w:w="15" w:type="dxa"/>
            <w:right w:w="15" w:type="dxa"/>
          </w:tblCellMar>
        </w:tblPrEx>
        <w:tc>
          <w:tcPr>
            <w:tcW w:w="0" w:type="auto"/>
            <w:vMerge w:val="continue"/>
            <w:tcBorders>
              <w:top w:val="nil"/>
              <w:left w:val="single" w:color="auto" w:sz="8" w:space="0"/>
              <w:bottom w:val="single" w:color="auto" w:sz="8" w:space="0"/>
              <w:right w:val="single" w:color="auto" w:sz="8" w:space="0"/>
            </w:tcBorders>
            <w:shd w:val="clear" w:color="auto" w:fill="FFFFFF"/>
            <w:vAlign w:val="center"/>
          </w:tcPr>
          <w:p>
            <w:pPr>
              <w:widowControl/>
              <w:spacing w:line="360" w:lineRule="exact"/>
              <w:jc w:val="left"/>
              <w:rPr>
                <w:rFonts w:ascii="微软雅黑" w:hAnsi="微软雅黑" w:eastAsia="微软雅黑" w:cs="宋体"/>
                <w:b/>
                <w:color w:val="333333"/>
                <w:kern w:val="0"/>
                <w:szCs w:val="21"/>
              </w:rPr>
            </w:pPr>
          </w:p>
        </w:tc>
        <w:tc>
          <w:tcPr>
            <w:tcW w:w="0" w:type="auto"/>
            <w:vMerge w:val="continue"/>
            <w:tcBorders>
              <w:top w:val="nil"/>
              <w:left w:val="nil"/>
              <w:bottom w:val="single" w:color="auto" w:sz="8" w:space="0"/>
              <w:right w:val="single" w:color="auto" w:sz="8" w:space="0"/>
            </w:tcBorders>
            <w:shd w:val="clear" w:color="auto" w:fill="FFFFFF"/>
            <w:vAlign w:val="center"/>
          </w:tcPr>
          <w:p>
            <w:pPr>
              <w:widowControl/>
              <w:spacing w:line="360" w:lineRule="exact"/>
              <w:jc w:val="left"/>
              <w:rPr>
                <w:rFonts w:ascii="微软雅黑" w:hAnsi="微软雅黑" w:eastAsia="微软雅黑" w:cs="宋体"/>
                <w:b/>
                <w:color w:val="333333"/>
                <w:kern w:val="0"/>
                <w:szCs w:val="21"/>
              </w:rPr>
            </w:pP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7.属于行政执法案卷</w:t>
            </w:r>
          </w:p>
        </w:tc>
        <w:tc>
          <w:tcPr>
            <w:tcW w:w="5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r>
      <w:tr>
        <w:tblPrEx>
          <w:tblCellMar>
            <w:top w:w="15" w:type="dxa"/>
            <w:left w:w="15" w:type="dxa"/>
            <w:bottom w:w="15" w:type="dxa"/>
            <w:right w:w="15" w:type="dxa"/>
          </w:tblCellMar>
        </w:tblPrEx>
        <w:tc>
          <w:tcPr>
            <w:tcW w:w="0" w:type="auto"/>
            <w:vMerge w:val="continue"/>
            <w:tcBorders>
              <w:top w:val="nil"/>
              <w:left w:val="single" w:color="auto" w:sz="8" w:space="0"/>
              <w:bottom w:val="single" w:color="auto" w:sz="8" w:space="0"/>
              <w:right w:val="single" w:color="auto" w:sz="8" w:space="0"/>
            </w:tcBorders>
            <w:shd w:val="clear" w:color="auto" w:fill="FFFFFF"/>
            <w:vAlign w:val="center"/>
          </w:tcPr>
          <w:p>
            <w:pPr>
              <w:widowControl/>
              <w:spacing w:line="360" w:lineRule="exact"/>
              <w:jc w:val="left"/>
              <w:rPr>
                <w:rFonts w:ascii="微软雅黑" w:hAnsi="微软雅黑" w:eastAsia="微软雅黑" w:cs="宋体"/>
                <w:b/>
                <w:color w:val="333333"/>
                <w:kern w:val="0"/>
                <w:szCs w:val="21"/>
              </w:rPr>
            </w:pPr>
          </w:p>
        </w:tc>
        <w:tc>
          <w:tcPr>
            <w:tcW w:w="0" w:type="auto"/>
            <w:vMerge w:val="continue"/>
            <w:tcBorders>
              <w:top w:val="nil"/>
              <w:left w:val="nil"/>
              <w:bottom w:val="single" w:color="auto" w:sz="8" w:space="0"/>
              <w:right w:val="single" w:color="auto" w:sz="8" w:space="0"/>
            </w:tcBorders>
            <w:shd w:val="clear" w:color="auto" w:fill="FFFFFF"/>
            <w:vAlign w:val="center"/>
          </w:tcPr>
          <w:p>
            <w:pPr>
              <w:widowControl/>
              <w:spacing w:line="360" w:lineRule="exact"/>
              <w:jc w:val="left"/>
              <w:rPr>
                <w:rFonts w:ascii="微软雅黑" w:hAnsi="微软雅黑" w:eastAsia="微软雅黑" w:cs="宋体"/>
                <w:b/>
                <w:color w:val="333333"/>
                <w:kern w:val="0"/>
                <w:szCs w:val="21"/>
              </w:rPr>
            </w:pP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8.属于行政查询事项</w:t>
            </w:r>
          </w:p>
        </w:tc>
        <w:tc>
          <w:tcPr>
            <w:tcW w:w="5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r>
      <w:tr>
        <w:tblPrEx>
          <w:tblCellMar>
            <w:top w:w="15" w:type="dxa"/>
            <w:left w:w="15" w:type="dxa"/>
            <w:bottom w:w="15" w:type="dxa"/>
            <w:right w:w="15" w:type="dxa"/>
          </w:tblCellMar>
        </w:tblPrEx>
        <w:tc>
          <w:tcPr>
            <w:tcW w:w="0" w:type="auto"/>
            <w:vMerge w:val="continue"/>
            <w:tcBorders>
              <w:top w:val="nil"/>
              <w:left w:val="single" w:color="auto" w:sz="8" w:space="0"/>
              <w:bottom w:val="single" w:color="auto" w:sz="8" w:space="0"/>
              <w:right w:val="single" w:color="auto" w:sz="8" w:space="0"/>
            </w:tcBorders>
            <w:shd w:val="clear" w:color="auto" w:fill="FFFFFF"/>
            <w:vAlign w:val="center"/>
          </w:tcPr>
          <w:p>
            <w:pPr>
              <w:widowControl/>
              <w:spacing w:line="360" w:lineRule="exact"/>
              <w:jc w:val="left"/>
              <w:rPr>
                <w:rFonts w:ascii="微软雅黑" w:hAnsi="微软雅黑" w:eastAsia="微软雅黑" w:cs="宋体"/>
                <w:b/>
                <w:color w:val="333333"/>
                <w:kern w:val="0"/>
                <w:szCs w:val="21"/>
              </w:rPr>
            </w:pPr>
          </w:p>
        </w:tc>
        <w:tc>
          <w:tcPr>
            <w:tcW w:w="117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（四）无法提供</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1.本机关不掌握相关政府信息</w:t>
            </w:r>
          </w:p>
        </w:tc>
        <w:tc>
          <w:tcPr>
            <w:tcW w:w="5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r>
      <w:tr>
        <w:tblPrEx>
          <w:tblCellMar>
            <w:top w:w="15" w:type="dxa"/>
            <w:left w:w="15" w:type="dxa"/>
            <w:bottom w:w="15" w:type="dxa"/>
            <w:right w:w="15" w:type="dxa"/>
          </w:tblCellMar>
        </w:tblPrEx>
        <w:tc>
          <w:tcPr>
            <w:tcW w:w="0" w:type="auto"/>
            <w:vMerge w:val="continue"/>
            <w:tcBorders>
              <w:top w:val="nil"/>
              <w:left w:val="single" w:color="auto" w:sz="8" w:space="0"/>
              <w:bottom w:val="single" w:color="auto" w:sz="8" w:space="0"/>
              <w:right w:val="single" w:color="auto" w:sz="8" w:space="0"/>
            </w:tcBorders>
            <w:shd w:val="clear" w:color="auto" w:fill="FFFFFF"/>
            <w:vAlign w:val="center"/>
          </w:tcPr>
          <w:p>
            <w:pPr>
              <w:widowControl/>
              <w:spacing w:line="360" w:lineRule="exact"/>
              <w:jc w:val="left"/>
              <w:rPr>
                <w:rFonts w:ascii="微软雅黑" w:hAnsi="微软雅黑" w:eastAsia="微软雅黑" w:cs="宋体"/>
                <w:b/>
                <w:color w:val="333333"/>
                <w:kern w:val="0"/>
                <w:szCs w:val="21"/>
              </w:rPr>
            </w:pPr>
          </w:p>
        </w:tc>
        <w:tc>
          <w:tcPr>
            <w:tcW w:w="0" w:type="auto"/>
            <w:vMerge w:val="continue"/>
            <w:tcBorders>
              <w:top w:val="nil"/>
              <w:left w:val="nil"/>
              <w:bottom w:val="single" w:color="auto" w:sz="8" w:space="0"/>
              <w:right w:val="single" w:color="auto" w:sz="8" w:space="0"/>
            </w:tcBorders>
            <w:shd w:val="clear" w:color="auto" w:fill="FFFFFF"/>
            <w:vAlign w:val="center"/>
          </w:tcPr>
          <w:p>
            <w:pPr>
              <w:widowControl/>
              <w:spacing w:line="360" w:lineRule="exact"/>
              <w:jc w:val="left"/>
              <w:rPr>
                <w:rFonts w:ascii="微软雅黑" w:hAnsi="微软雅黑" w:eastAsia="微软雅黑" w:cs="宋体"/>
                <w:b/>
                <w:color w:val="333333"/>
                <w:kern w:val="0"/>
                <w:szCs w:val="21"/>
              </w:rPr>
            </w:pP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2.没有现成信息需要另行制作</w:t>
            </w:r>
          </w:p>
        </w:tc>
        <w:tc>
          <w:tcPr>
            <w:tcW w:w="5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r>
      <w:tr>
        <w:tblPrEx>
          <w:tblCellMar>
            <w:top w:w="15" w:type="dxa"/>
            <w:left w:w="15" w:type="dxa"/>
            <w:bottom w:w="15" w:type="dxa"/>
            <w:right w:w="15" w:type="dxa"/>
          </w:tblCellMar>
        </w:tblPrEx>
        <w:tc>
          <w:tcPr>
            <w:tcW w:w="0" w:type="auto"/>
            <w:vMerge w:val="continue"/>
            <w:tcBorders>
              <w:top w:val="nil"/>
              <w:left w:val="single" w:color="auto" w:sz="8" w:space="0"/>
              <w:bottom w:val="single" w:color="auto" w:sz="8" w:space="0"/>
              <w:right w:val="single" w:color="auto" w:sz="8" w:space="0"/>
            </w:tcBorders>
            <w:shd w:val="clear" w:color="auto" w:fill="FFFFFF"/>
            <w:vAlign w:val="center"/>
          </w:tcPr>
          <w:p>
            <w:pPr>
              <w:widowControl/>
              <w:spacing w:line="360" w:lineRule="exact"/>
              <w:jc w:val="left"/>
              <w:rPr>
                <w:rFonts w:ascii="微软雅黑" w:hAnsi="微软雅黑" w:eastAsia="微软雅黑" w:cs="宋体"/>
                <w:b/>
                <w:color w:val="333333"/>
                <w:kern w:val="0"/>
                <w:szCs w:val="21"/>
              </w:rPr>
            </w:pPr>
          </w:p>
        </w:tc>
        <w:tc>
          <w:tcPr>
            <w:tcW w:w="0" w:type="auto"/>
            <w:vMerge w:val="continue"/>
            <w:tcBorders>
              <w:top w:val="nil"/>
              <w:left w:val="nil"/>
              <w:bottom w:val="single" w:color="auto" w:sz="8" w:space="0"/>
              <w:right w:val="single" w:color="auto" w:sz="8" w:space="0"/>
            </w:tcBorders>
            <w:shd w:val="clear" w:color="auto" w:fill="FFFFFF"/>
            <w:vAlign w:val="center"/>
          </w:tcPr>
          <w:p>
            <w:pPr>
              <w:widowControl/>
              <w:spacing w:line="360" w:lineRule="exact"/>
              <w:jc w:val="left"/>
              <w:rPr>
                <w:rFonts w:ascii="微软雅黑" w:hAnsi="微软雅黑" w:eastAsia="微软雅黑" w:cs="宋体"/>
                <w:b/>
                <w:color w:val="333333"/>
                <w:kern w:val="0"/>
                <w:szCs w:val="21"/>
              </w:rPr>
            </w:pP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3.补正后申请内容仍不明确</w:t>
            </w:r>
          </w:p>
        </w:tc>
        <w:tc>
          <w:tcPr>
            <w:tcW w:w="5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r>
      <w:tr>
        <w:tblPrEx>
          <w:tblCellMar>
            <w:top w:w="15" w:type="dxa"/>
            <w:left w:w="15" w:type="dxa"/>
            <w:bottom w:w="15" w:type="dxa"/>
            <w:right w:w="15" w:type="dxa"/>
          </w:tblCellMar>
        </w:tblPrEx>
        <w:tc>
          <w:tcPr>
            <w:tcW w:w="0" w:type="auto"/>
            <w:vMerge w:val="continue"/>
            <w:tcBorders>
              <w:top w:val="nil"/>
              <w:left w:val="single" w:color="auto" w:sz="8" w:space="0"/>
              <w:bottom w:val="single" w:color="auto" w:sz="8" w:space="0"/>
              <w:right w:val="single" w:color="auto" w:sz="8" w:space="0"/>
            </w:tcBorders>
            <w:shd w:val="clear" w:color="auto" w:fill="FFFFFF"/>
            <w:vAlign w:val="center"/>
          </w:tcPr>
          <w:p>
            <w:pPr>
              <w:widowControl/>
              <w:spacing w:line="360" w:lineRule="exact"/>
              <w:jc w:val="left"/>
              <w:rPr>
                <w:rFonts w:ascii="微软雅黑" w:hAnsi="微软雅黑" w:eastAsia="微软雅黑" w:cs="宋体"/>
                <w:b/>
                <w:color w:val="333333"/>
                <w:kern w:val="0"/>
                <w:szCs w:val="21"/>
              </w:rPr>
            </w:pPr>
          </w:p>
        </w:tc>
        <w:tc>
          <w:tcPr>
            <w:tcW w:w="1176"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（五）不予处理</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1.信访举报投诉类申请</w:t>
            </w:r>
          </w:p>
        </w:tc>
        <w:tc>
          <w:tcPr>
            <w:tcW w:w="5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r>
      <w:tr>
        <w:tblPrEx>
          <w:tblCellMar>
            <w:top w:w="15" w:type="dxa"/>
            <w:left w:w="15" w:type="dxa"/>
            <w:bottom w:w="15" w:type="dxa"/>
            <w:right w:w="15" w:type="dxa"/>
          </w:tblCellMar>
        </w:tblPrEx>
        <w:tc>
          <w:tcPr>
            <w:tcW w:w="0" w:type="auto"/>
            <w:vMerge w:val="continue"/>
            <w:tcBorders>
              <w:top w:val="nil"/>
              <w:left w:val="single" w:color="auto" w:sz="8" w:space="0"/>
              <w:bottom w:val="single" w:color="auto" w:sz="8" w:space="0"/>
              <w:right w:val="single" w:color="auto" w:sz="8" w:space="0"/>
            </w:tcBorders>
            <w:shd w:val="clear" w:color="auto" w:fill="FFFFFF"/>
            <w:vAlign w:val="center"/>
          </w:tcPr>
          <w:p>
            <w:pPr>
              <w:widowControl/>
              <w:spacing w:line="360" w:lineRule="exact"/>
              <w:jc w:val="left"/>
              <w:rPr>
                <w:rFonts w:ascii="微软雅黑" w:hAnsi="微软雅黑" w:eastAsia="微软雅黑" w:cs="宋体"/>
                <w:b/>
                <w:color w:val="333333"/>
                <w:kern w:val="0"/>
                <w:szCs w:val="21"/>
              </w:rPr>
            </w:pPr>
          </w:p>
        </w:tc>
        <w:tc>
          <w:tcPr>
            <w:tcW w:w="0" w:type="auto"/>
            <w:vMerge w:val="continue"/>
            <w:tcBorders>
              <w:top w:val="nil"/>
              <w:left w:val="nil"/>
              <w:bottom w:val="single" w:color="auto" w:sz="8" w:space="0"/>
              <w:right w:val="single" w:color="auto" w:sz="8" w:space="0"/>
            </w:tcBorders>
            <w:shd w:val="clear" w:color="auto" w:fill="FFFFFF"/>
            <w:vAlign w:val="center"/>
          </w:tcPr>
          <w:p>
            <w:pPr>
              <w:widowControl/>
              <w:spacing w:line="360" w:lineRule="exact"/>
              <w:jc w:val="left"/>
              <w:rPr>
                <w:rFonts w:ascii="微软雅黑" w:hAnsi="微软雅黑" w:eastAsia="微软雅黑" w:cs="宋体"/>
                <w:b/>
                <w:color w:val="333333"/>
                <w:kern w:val="0"/>
                <w:szCs w:val="21"/>
              </w:rPr>
            </w:pP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2.重复申请</w:t>
            </w:r>
          </w:p>
        </w:tc>
        <w:tc>
          <w:tcPr>
            <w:tcW w:w="5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r>
      <w:tr>
        <w:tblPrEx>
          <w:tblCellMar>
            <w:top w:w="15" w:type="dxa"/>
            <w:left w:w="15" w:type="dxa"/>
            <w:bottom w:w="15" w:type="dxa"/>
            <w:right w:w="15" w:type="dxa"/>
          </w:tblCellMar>
        </w:tblPrEx>
        <w:tc>
          <w:tcPr>
            <w:tcW w:w="0" w:type="auto"/>
            <w:vMerge w:val="continue"/>
            <w:tcBorders>
              <w:top w:val="nil"/>
              <w:left w:val="single" w:color="auto" w:sz="8" w:space="0"/>
              <w:bottom w:val="single" w:color="auto" w:sz="8" w:space="0"/>
              <w:right w:val="single" w:color="auto" w:sz="8" w:space="0"/>
            </w:tcBorders>
            <w:shd w:val="clear" w:color="auto" w:fill="FFFFFF"/>
            <w:vAlign w:val="center"/>
          </w:tcPr>
          <w:p>
            <w:pPr>
              <w:widowControl/>
              <w:spacing w:line="360" w:lineRule="exact"/>
              <w:jc w:val="left"/>
              <w:rPr>
                <w:rFonts w:ascii="微软雅黑" w:hAnsi="微软雅黑" w:eastAsia="微软雅黑" w:cs="宋体"/>
                <w:b/>
                <w:color w:val="333333"/>
                <w:kern w:val="0"/>
                <w:szCs w:val="21"/>
              </w:rPr>
            </w:pPr>
          </w:p>
        </w:tc>
        <w:tc>
          <w:tcPr>
            <w:tcW w:w="0" w:type="auto"/>
            <w:vMerge w:val="continue"/>
            <w:tcBorders>
              <w:top w:val="nil"/>
              <w:left w:val="nil"/>
              <w:bottom w:val="single" w:color="auto" w:sz="8" w:space="0"/>
              <w:right w:val="single" w:color="auto" w:sz="8" w:space="0"/>
            </w:tcBorders>
            <w:shd w:val="clear" w:color="auto" w:fill="FFFFFF"/>
            <w:vAlign w:val="center"/>
          </w:tcPr>
          <w:p>
            <w:pPr>
              <w:widowControl/>
              <w:spacing w:line="360" w:lineRule="exact"/>
              <w:jc w:val="left"/>
              <w:rPr>
                <w:rFonts w:ascii="微软雅黑" w:hAnsi="微软雅黑" w:eastAsia="微软雅黑" w:cs="宋体"/>
                <w:b/>
                <w:color w:val="333333"/>
                <w:kern w:val="0"/>
                <w:szCs w:val="21"/>
              </w:rPr>
            </w:pP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3.要求提供公开出版物</w:t>
            </w:r>
          </w:p>
        </w:tc>
        <w:tc>
          <w:tcPr>
            <w:tcW w:w="5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r>
      <w:tr>
        <w:tblPrEx>
          <w:tblCellMar>
            <w:top w:w="15" w:type="dxa"/>
            <w:left w:w="15" w:type="dxa"/>
            <w:bottom w:w="15" w:type="dxa"/>
            <w:right w:w="15" w:type="dxa"/>
          </w:tblCellMar>
        </w:tblPrEx>
        <w:tc>
          <w:tcPr>
            <w:tcW w:w="0" w:type="auto"/>
            <w:vMerge w:val="continue"/>
            <w:tcBorders>
              <w:top w:val="nil"/>
              <w:left w:val="single" w:color="auto" w:sz="8" w:space="0"/>
              <w:bottom w:val="single" w:color="auto" w:sz="8" w:space="0"/>
              <w:right w:val="single" w:color="auto" w:sz="8" w:space="0"/>
            </w:tcBorders>
            <w:shd w:val="clear" w:color="auto" w:fill="FFFFFF"/>
            <w:vAlign w:val="center"/>
          </w:tcPr>
          <w:p>
            <w:pPr>
              <w:widowControl/>
              <w:spacing w:line="360" w:lineRule="exact"/>
              <w:jc w:val="left"/>
              <w:rPr>
                <w:rFonts w:ascii="微软雅黑" w:hAnsi="微软雅黑" w:eastAsia="微软雅黑" w:cs="宋体"/>
                <w:b/>
                <w:color w:val="333333"/>
                <w:kern w:val="0"/>
                <w:szCs w:val="21"/>
              </w:rPr>
            </w:pPr>
          </w:p>
        </w:tc>
        <w:tc>
          <w:tcPr>
            <w:tcW w:w="0" w:type="auto"/>
            <w:vMerge w:val="continue"/>
            <w:tcBorders>
              <w:top w:val="nil"/>
              <w:left w:val="nil"/>
              <w:bottom w:val="single" w:color="auto" w:sz="8" w:space="0"/>
              <w:right w:val="single" w:color="auto" w:sz="8" w:space="0"/>
            </w:tcBorders>
            <w:shd w:val="clear" w:color="auto" w:fill="FFFFFF"/>
            <w:vAlign w:val="center"/>
          </w:tcPr>
          <w:p>
            <w:pPr>
              <w:widowControl/>
              <w:spacing w:line="360" w:lineRule="exact"/>
              <w:jc w:val="left"/>
              <w:rPr>
                <w:rFonts w:ascii="微软雅黑" w:hAnsi="微软雅黑" w:eastAsia="微软雅黑" w:cs="宋体"/>
                <w:b/>
                <w:color w:val="333333"/>
                <w:kern w:val="0"/>
                <w:szCs w:val="21"/>
              </w:rPr>
            </w:pP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4.无正当理由大量反复申请</w:t>
            </w:r>
          </w:p>
        </w:tc>
        <w:tc>
          <w:tcPr>
            <w:tcW w:w="5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r>
      <w:tr>
        <w:tblPrEx>
          <w:tblCellMar>
            <w:top w:w="15" w:type="dxa"/>
            <w:left w:w="15" w:type="dxa"/>
            <w:bottom w:w="15" w:type="dxa"/>
            <w:right w:w="15" w:type="dxa"/>
          </w:tblCellMar>
        </w:tblPrEx>
        <w:tc>
          <w:tcPr>
            <w:tcW w:w="0" w:type="auto"/>
            <w:vMerge w:val="continue"/>
            <w:tcBorders>
              <w:top w:val="nil"/>
              <w:left w:val="single" w:color="auto" w:sz="8" w:space="0"/>
              <w:bottom w:val="single" w:color="auto" w:sz="8" w:space="0"/>
              <w:right w:val="single" w:color="auto" w:sz="8" w:space="0"/>
            </w:tcBorders>
            <w:shd w:val="clear" w:color="auto" w:fill="FFFFFF"/>
            <w:vAlign w:val="center"/>
          </w:tcPr>
          <w:p>
            <w:pPr>
              <w:widowControl/>
              <w:spacing w:line="360" w:lineRule="exact"/>
              <w:jc w:val="left"/>
              <w:rPr>
                <w:rFonts w:ascii="微软雅黑" w:hAnsi="微软雅黑" w:eastAsia="微软雅黑" w:cs="宋体"/>
                <w:b/>
                <w:color w:val="333333"/>
                <w:kern w:val="0"/>
                <w:szCs w:val="21"/>
              </w:rPr>
            </w:pPr>
          </w:p>
        </w:tc>
        <w:tc>
          <w:tcPr>
            <w:tcW w:w="0" w:type="auto"/>
            <w:vMerge w:val="continue"/>
            <w:tcBorders>
              <w:top w:val="nil"/>
              <w:left w:val="nil"/>
              <w:bottom w:val="single" w:color="auto" w:sz="8" w:space="0"/>
              <w:right w:val="single" w:color="auto" w:sz="8" w:space="0"/>
            </w:tcBorders>
            <w:shd w:val="clear" w:color="auto" w:fill="FFFFFF"/>
            <w:vAlign w:val="center"/>
          </w:tcPr>
          <w:p>
            <w:pPr>
              <w:widowControl/>
              <w:spacing w:line="360" w:lineRule="exact"/>
              <w:jc w:val="left"/>
              <w:rPr>
                <w:rFonts w:ascii="微软雅黑" w:hAnsi="微软雅黑" w:eastAsia="微软雅黑" w:cs="宋体"/>
                <w:b/>
                <w:color w:val="333333"/>
                <w:kern w:val="0"/>
                <w:szCs w:val="21"/>
              </w:rPr>
            </w:pP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5.要求行政机关确认或重新出具已获取信息</w:t>
            </w:r>
          </w:p>
        </w:tc>
        <w:tc>
          <w:tcPr>
            <w:tcW w:w="5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1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r>
      <w:tr>
        <w:tblPrEx>
          <w:tblCellMar>
            <w:top w:w="15" w:type="dxa"/>
            <w:left w:w="15" w:type="dxa"/>
            <w:bottom w:w="15" w:type="dxa"/>
            <w:right w:w="15" w:type="dxa"/>
          </w:tblCellMar>
        </w:tblPrEx>
        <w:tc>
          <w:tcPr>
            <w:tcW w:w="0" w:type="auto"/>
            <w:vMerge w:val="continue"/>
            <w:tcBorders>
              <w:top w:val="nil"/>
              <w:left w:val="single" w:color="auto" w:sz="8" w:space="0"/>
              <w:bottom w:val="single" w:color="auto" w:sz="8" w:space="0"/>
              <w:right w:val="single" w:color="auto" w:sz="8" w:space="0"/>
            </w:tcBorders>
            <w:shd w:val="clear" w:color="auto" w:fill="FFFFFF"/>
            <w:vAlign w:val="center"/>
          </w:tcPr>
          <w:p>
            <w:pPr>
              <w:widowControl/>
              <w:spacing w:line="360" w:lineRule="exact"/>
              <w:jc w:val="left"/>
              <w:rPr>
                <w:rFonts w:ascii="微软雅黑" w:hAnsi="微软雅黑" w:eastAsia="微软雅黑" w:cs="宋体"/>
                <w:b/>
                <w:color w:val="333333"/>
                <w:kern w:val="0"/>
                <w:szCs w:val="21"/>
              </w:rPr>
            </w:pPr>
          </w:p>
        </w:tc>
        <w:tc>
          <w:tcPr>
            <w:tcW w:w="3216" w:type="dxa"/>
            <w:gridSpan w:val="2"/>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（六）其他处理</w:t>
            </w:r>
          </w:p>
        </w:tc>
        <w:tc>
          <w:tcPr>
            <w:tcW w:w="5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30" w:lineRule="atLeast"/>
              <w:ind w:firstLine="210" w:firstLineChars="100"/>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1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30" w:lineRule="atLeast"/>
              <w:ind w:firstLine="210" w:firstLineChars="100"/>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2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30" w:lineRule="atLeast"/>
              <w:ind w:firstLine="210" w:firstLineChars="100"/>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1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30" w:lineRule="atLeast"/>
              <w:ind w:firstLine="105" w:firstLineChars="50"/>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30" w:lineRule="atLeast"/>
              <w:ind w:firstLine="105" w:firstLineChars="50"/>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30" w:lineRule="atLeast"/>
              <w:ind w:firstLine="105" w:firstLineChars="50"/>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r>
      <w:tr>
        <w:tblPrEx>
          <w:tblCellMar>
            <w:top w:w="15" w:type="dxa"/>
            <w:left w:w="15" w:type="dxa"/>
            <w:bottom w:w="15" w:type="dxa"/>
            <w:right w:w="15" w:type="dxa"/>
          </w:tblCellMar>
        </w:tblPrEx>
        <w:tc>
          <w:tcPr>
            <w:tcW w:w="0" w:type="auto"/>
            <w:vMerge w:val="continue"/>
            <w:tcBorders>
              <w:top w:val="nil"/>
              <w:left w:val="single" w:color="auto" w:sz="8" w:space="0"/>
              <w:bottom w:val="single" w:color="auto" w:sz="8" w:space="0"/>
              <w:right w:val="single" w:color="auto" w:sz="8" w:space="0"/>
            </w:tcBorders>
            <w:shd w:val="clear" w:color="auto" w:fill="FFFFFF"/>
            <w:vAlign w:val="center"/>
          </w:tcPr>
          <w:p>
            <w:pPr>
              <w:widowControl/>
              <w:spacing w:line="360" w:lineRule="exact"/>
              <w:jc w:val="left"/>
              <w:rPr>
                <w:rFonts w:ascii="微软雅黑" w:hAnsi="微软雅黑" w:eastAsia="微软雅黑" w:cs="宋体"/>
                <w:b/>
                <w:color w:val="333333"/>
                <w:kern w:val="0"/>
                <w:szCs w:val="21"/>
              </w:rPr>
            </w:pPr>
          </w:p>
        </w:tc>
        <w:tc>
          <w:tcPr>
            <w:tcW w:w="3216" w:type="dxa"/>
            <w:gridSpan w:val="2"/>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（七）总计</w:t>
            </w:r>
          </w:p>
        </w:tc>
        <w:tc>
          <w:tcPr>
            <w:tcW w:w="5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4</w:t>
            </w:r>
          </w:p>
        </w:tc>
        <w:tc>
          <w:tcPr>
            <w:tcW w:w="6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1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30" w:lineRule="atLeast"/>
              <w:ind w:firstLine="210" w:firstLineChars="100"/>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2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1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30" w:lineRule="atLeast"/>
              <w:ind w:firstLine="105" w:firstLineChars="50"/>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30" w:lineRule="atLeast"/>
              <w:ind w:firstLine="105" w:firstLineChars="50"/>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4</w:t>
            </w:r>
          </w:p>
        </w:tc>
      </w:tr>
      <w:tr>
        <w:tblPrEx>
          <w:tblCellMar>
            <w:top w:w="15" w:type="dxa"/>
            <w:left w:w="15" w:type="dxa"/>
            <w:bottom w:w="15" w:type="dxa"/>
            <w:right w:w="15" w:type="dxa"/>
          </w:tblCellMar>
        </w:tblPrEx>
        <w:tc>
          <w:tcPr>
            <w:tcW w:w="4229" w:type="dxa"/>
            <w:gridSpan w:val="3"/>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30" w:lineRule="atLeas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四、结转下年度继续办理</w:t>
            </w:r>
          </w:p>
        </w:tc>
        <w:tc>
          <w:tcPr>
            <w:tcW w:w="5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1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20"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30" w:lineRule="atLeast"/>
              <w:ind w:firstLine="105" w:firstLineChars="50"/>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819"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5"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92" w:type="dxa"/>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330" w:lineRule="atLeast"/>
              <w:ind w:firstLine="105" w:firstLineChars="50"/>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r>
    </w:tbl>
    <w:p>
      <w:pPr>
        <w:widowControl/>
        <w:shd w:val="clear" w:color="auto" w:fill="FFFFFF"/>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    四、政府信息公开行政复议、行政诉讼情况</w:t>
      </w:r>
    </w:p>
    <w:tbl>
      <w:tblPr>
        <w:tblStyle w:val="15"/>
        <w:tblW w:w="9210" w:type="dxa"/>
        <w:tblInd w:w="132" w:type="dxa"/>
        <w:shd w:val="clear" w:color="auto" w:fill="FFFFFF"/>
        <w:tblLayout w:type="autofit"/>
        <w:tblCellMar>
          <w:top w:w="15" w:type="dxa"/>
          <w:left w:w="15" w:type="dxa"/>
          <w:bottom w:w="15" w:type="dxa"/>
          <w:right w:w="15" w:type="dxa"/>
        </w:tblCellMar>
      </w:tblPr>
      <w:tblGrid>
        <w:gridCol w:w="898"/>
        <w:gridCol w:w="603"/>
        <w:gridCol w:w="603"/>
        <w:gridCol w:w="604"/>
        <w:gridCol w:w="658"/>
        <w:gridCol w:w="550"/>
        <w:gridCol w:w="605"/>
        <w:gridCol w:w="605"/>
        <w:gridCol w:w="605"/>
        <w:gridCol w:w="502"/>
        <w:gridCol w:w="709"/>
        <w:gridCol w:w="604"/>
        <w:gridCol w:w="530"/>
        <w:gridCol w:w="567"/>
        <w:gridCol w:w="567"/>
      </w:tblGrid>
      <w:tr>
        <w:tblPrEx>
          <w:shd w:val="clear" w:color="auto" w:fill="FFFFFF"/>
          <w:tblCellMar>
            <w:top w:w="15" w:type="dxa"/>
            <w:left w:w="15" w:type="dxa"/>
            <w:bottom w:w="15" w:type="dxa"/>
            <w:right w:w="15" w:type="dxa"/>
          </w:tblCellMar>
        </w:tblPrEx>
        <w:tc>
          <w:tcPr>
            <w:tcW w:w="3370"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行政复议</w:t>
            </w:r>
          </w:p>
        </w:tc>
        <w:tc>
          <w:tcPr>
            <w:tcW w:w="5844" w:type="dxa"/>
            <w:gridSpan w:val="10"/>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行政诉讼</w:t>
            </w:r>
          </w:p>
        </w:tc>
      </w:tr>
      <w:tr>
        <w:tc>
          <w:tcPr>
            <w:tcW w:w="900"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结果维持</w:t>
            </w:r>
          </w:p>
        </w:tc>
        <w:tc>
          <w:tcPr>
            <w:tcW w:w="604"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结果纠正</w:t>
            </w:r>
          </w:p>
        </w:tc>
        <w:tc>
          <w:tcPr>
            <w:tcW w:w="604"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其他结果</w:t>
            </w:r>
          </w:p>
        </w:tc>
        <w:tc>
          <w:tcPr>
            <w:tcW w:w="604"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尚未审结</w:t>
            </w:r>
          </w:p>
        </w:tc>
        <w:tc>
          <w:tcPr>
            <w:tcW w:w="658"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总计</w:t>
            </w:r>
          </w:p>
        </w:tc>
        <w:tc>
          <w:tcPr>
            <w:tcW w:w="2867"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未经复议直接起诉</w:t>
            </w:r>
          </w:p>
        </w:tc>
        <w:tc>
          <w:tcPr>
            <w:tcW w:w="2977"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复议后起诉</w:t>
            </w:r>
          </w:p>
        </w:tc>
      </w:tr>
      <w:tr>
        <w:tblPrEx>
          <w:tblCellMar>
            <w:top w:w="15" w:type="dxa"/>
            <w:left w:w="15" w:type="dxa"/>
            <w:bottom w:w="15" w:type="dxa"/>
            <w:right w:w="15" w:type="dxa"/>
          </w:tblCellMar>
        </w:tblPrEx>
        <w:tc>
          <w:tcPr>
            <w:tcW w:w="0" w:type="auto"/>
            <w:vMerge w:val="continue"/>
            <w:tcBorders>
              <w:top w:val="nil"/>
              <w:left w:val="single" w:color="auto" w:sz="8" w:space="0"/>
              <w:bottom w:val="single" w:color="auto" w:sz="8" w:space="0"/>
              <w:right w:val="single" w:color="auto" w:sz="8" w:space="0"/>
            </w:tcBorders>
            <w:shd w:val="clear" w:color="auto" w:fill="FFFFFF"/>
            <w:vAlign w:val="center"/>
          </w:tcPr>
          <w:p>
            <w:pPr>
              <w:widowControl/>
              <w:spacing w:line="360" w:lineRule="exact"/>
              <w:jc w:val="left"/>
              <w:rPr>
                <w:rFonts w:ascii="微软雅黑" w:hAnsi="微软雅黑" w:eastAsia="微软雅黑" w:cs="宋体"/>
                <w:b/>
                <w:color w:val="333333"/>
                <w:kern w:val="0"/>
                <w:szCs w:val="21"/>
              </w:rPr>
            </w:pPr>
          </w:p>
        </w:tc>
        <w:tc>
          <w:tcPr>
            <w:tcW w:w="0" w:type="auto"/>
            <w:vMerge w:val="continue"/>
            <w:tcBorders>
              <w:top w:val="nil"/>
              <w:left w:val="nil"/>
              <w:bottom w:val="single" w:color="auto" w:sz="8" w:space="0"/>
              <w:right w:val="single" w:color="auto" w:sz="8" w:space="0"/>
            </w:tcBorders>
            <w:shd w:val="clear" w:color="auto" w:fill="FFFFFF"/>
            <w:vAlign w:val="center"/>
          </w:tcPr>
          <w:p>
            <w:pPr>
              <w:widowControl/>
              <w:spacing w:line="360" w:lineRule="exact"/>
              <w:jc w:val="left"/>
              <w:rPr>
                <w:rFonts w:ascii="微软雅黑" w:hAnsi="微软雅黑" w:eastAsia="微软雅黑" w:cs="宋体"/>
                <w:b/>
                <w:color w:val="333333"/>
                <w:kern w:val="0"/>
                <w:szCs w:val="21"/>
              </w:rPr>
            </w:pPr>
          </w:p>
        </w:tc>
        <w:tc>
          <w:tcPr>
            <w:tcW w:w="0" w:type="auto"/>
            <w:vMerge w:val="continue"/>
            <w:tcBorders>
              <w:top w:val="nil"/>
              <w:left w:val="nil"/>
              <w:bottom w:val="single" w:color="auto" w:sz="8" w:space="0"/>
              <w:right w:val="single" w:color="auto" w:sz="8" w:space="0"/>
            </w:tcBorders>
            <w:shd w:val="clear" w:color="auto" w:fill="FFFFFF"/>
            <w:vAlign w:val="center"/>
          </w:tcPr>
          <w:p>
            <w:pPr>
              <w:widowControl/>
              <w:spacing w:line="360" w:lineRule="exact"/>
              <w:jc w:val="left"/>
              <w:rPr>
                <w:rFonts w:ascii="微软雅黑" w:hAnsi="微软雅黑" w:eastAsia="微软雅黑" w:cs="宋体"/>
                <w:b/>
                <w:color w:val="333333"/>
                <w:kern w:val="0"/>
                <w:szCs w:val="21"/>
              </w:rPr>
            </w:pPr>
          </w:p>
        </w:tc>
        <w:tc>
          <w:tcPr>
            <w:tcW w:w="0" w:type="auto"/>
            <w:vMerge w:val="continue"/>
            <w:tcBorders>
              <w:top w:val="nil"/>
              <w:left w:val="nil"/>
              <w:bottom w:val="single" w:color="auto" w:sz="8" w:space="0"/>
              <w:right w:val="single" w:color="auto" w:sz="8" w:space="0"/>
            </w:tcBorders>
            <w:shd w:val="clear" w:color="auto" w:fill="FFFFFF"/>
            <w:vAlign w:val="center"/>
          </w:tcPr>
          <w:p>
            <w:pPr>
              <w:widowControl/>
              <w:spacing w:line="360" w:lineRule="exact"/>
              <w:jc w:val="left"/>
              <w:rPr>
                <w:rFonts w:ascii="微软雅黑" w:hAnsi="微软雅黑" w:eastAsia="微软雅黑" w:cs="宋体"/>
                <w:b/>
                <w:color w:val="333333"/>
                <w:kern w:val="0"/>
                <w:szCs w:val="21"/>
              </w:rPr>
            </w:pPr>
          </w:p>
        </w:tc>
        <w:tc>
          <w:tcPr>
            <w:tcW w:w="0" w:type="auto"/>
            <w:vMerge w:val="continue"/>
            <w:tcBorders>
              <w:top w:val="nil"/>
              <w:left w:val="nil"/>
              <w:bottom w:val="single" w:color="auto" w:sz="8" w:space="0"/>
              <w:right w:val="single" w:color="auto" w:sz="8" w:space="0"/>
            </w:tcBorders>
            <w:shd w:val="clear" w:color="auto" w:fill="FFFFFF"/>
            <w:vAlign w:val="center"/>
          </w:tcPr>
          <w:p>
            <w:pPr>
              <w:widowControl/>
              <w:spacing w:line="360" w:lineRule="exact"/>
              <w:jc w:val="left"/>
              <w:rPr>
                <w:rFonts w:ascii="微软雅黑" w:hAnsi="微软雅黑" w:eastAsia="微软雅黑" w:cs="宋体"/>
                <w:b/>
                <w:color w:val="333333"/>
                <w:kern w:val="0"/>
                <w:szCs w:val="21"/>
              </w:rPr>
            </w:pPr>
          </w:p>
        </w:tc>
        <w:tc>
          <w:tcPr>
            <w:tcW w:w="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结果维持</w:t>
            </w:r>
          </w:p>
        </w:tc>
        <w:tc>
          <w:tcPr>
            <w:tcW w:w="6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结果纠正</w:t>
            </w:r>
          </w:p>
        </w:tc>
        <w:tc>
          <w:tcPr>
            <w:tcW w:w="6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其他结果</w:t>
            </w:r>
          </w:p>
        </w:tc>
        <w:tc>
          <w:tcPr>
            <w:tcW w:w="6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尚未审结</w:t>
            </w:r>
          </w:p>
        </w:tc>
        <w:tc>
          <w:tcPr>
            <w:tcW w:w="5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总计</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结果维持</w:t>
            </w:r>
          </w:p>
        </w:tc>
        <w:tc>
          <w:tcPr>
            <w:tcW w:w="6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结果纠正</w:t>
            </w:r>
          </w:p>
        </w:tc>
        <w:tc>
          <w:tcPr>
            <w:tcW w:w="5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其他结果</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尚未审结</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60" w:lineRule="exact"/>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总计</w:t>
            </w:r>
          </w:p>
        </w:tc>
      </w:tr>
      <w:tr>
        <w:tblPrEx>
          <w:tblCellMar>
            <w:top w:w="15" w:type="dxa"/>
            <w:left w:w="15" w:type="dxa"/>
            <w:bottom w:w="15" w:type="dxa"/>
            <w:right w:w="15" w:type="dxa"/>
          </w:tblCellMar>
        </w:tblPrEx>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5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5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5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6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5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c>
          <w:tcPr>
            <w:tcW w:w="5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30" w:lineRule="atLeast"/>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0</w:t>
            </w:r>
          </w:p>
        </w:tc>
      </w:tr>
    </w:tbl>
    <w:p>
      <w:pPr>
        <w:rPr>
          <w:rFonts w:cs="宋体"/>
          <w:b/>
          <w:color w:val="333333"/>
          <w:kern w:val="0"/>
        </w:rPr>
      </w:pPr>
      <w:r>
        <w:rPr>
          <w:rFonts w:hint="eastAsia" w:cs="宋体"/>
          <w:b/>
          <w:color w:val="333333"/>
          <w:kern w:val="0"/>
        </w:rPr>
        <w:t xml:space="preserve">      </w:t>
      </w:r>
      <w:r>
        <w:rPr>
          <w:rFonts w:hint="eastAsia"/>
          <w:color w:val="333333"/>
        </w:rPr>
        <w:t>五、</w:t>
      </w:r>
      <w:r>
        <w:rPr>
          <w:rFonts w:hint="eastAsia"/>
        </w:rPr>
        <w:t>工作存在的主要问题和改进情况</w:t>
      </w:r>
    </w:p>
    <w:p>
      <w:pPr>
        <w:ind w:firstLine="420" w:firstLineChars="200"/>
      </w:pPr>
      <w:r>
        <w:rPr>
          <w:rFonts w:hint="eastAsia"/>
        </w:rPr>
        <w:t>存在问题：我局按照要求认真开展了各项工作，取得了一定的成效，但是仍存在一些问题。一是信息公开方式比较单一，信息公开形式还需进一步优化，公开渠道还需进一步拓宽；二是由于我局工作涉及面广、内容众多，公开信息量较大，这给全面收集信息和及时公开带来了一定的考验，对政府信息公开的宣传力度需进一步加大，信息公开的形式内容有待丰富，内部管理制度有待于进一步完善；三是政策宣传力度和针对性还不够，信息公开的有效性、便民性需进一步提高。</w:t>
      </w:r>
    </w:p>
    <w:p>
      <w:pPr>
        <w:ind w:firstLine="525" w:firstLineChars="250"/>
        <w:rPr>
          <w:shd w:val="clear" w:color="auto" w:fill="FFFFFF"/>
        </w:rPr>
      </w:pPr>
      <w:r>
        <w:rPr>
          <w:rFonts w:hint="eastAsia"/>
          <w:shd w:val="clear" w:color="auto" w:fill="FFFFFF"/>
        </w:rPr>
        <w:t>今后，我局将进一步加强政府信息公开工作的制度化、规范化建设，完善政府信息公开的形式，充实政府信息公开的内容，进一步提高各项工作的透明度，促进依法行政，充分发挥政府信息在社会主义新农村建设和现代农业发展中的服务作用。</w:t>
      </w:r>
    </w:p>
    <w:p>
      <w:pPr>
        <w:ind w:firstLine="420" w:firstLineChars="200"/>
        <w:rPr>
          <w:kern w:val="0"/>
        </w:rPr>
      </w:pPr>
      <w:r>
        <w:rPr>
          <w:rFonts w:hint="eastAsia"/>
          <w:kern w:val="0"/>
        </w:rPr>
        <w:t>六、其他需要报告事项</w:t>
      </w:r>
    </w:p>
    <w:p>
      <w:pPr>
        <w:ind w:firstLine="525" w:firstLineChars="250"/>
        <w:rPr>
          <w:kern w:val="0"/>
        </w:rPr>
      </w:pPr>
      <w:r>
        <w:rPr>
          <w:rFonts w:hint="eastAsia" w:cs="仿宋_GB2312"/>
        </w:rPr>
        <w:t>按照《国务院办公厅关于印发〈政府信息公开信息处理费管理办法〉的通知》（国办函〔2020〕109号）规定的按件、按量收费标准，本年度没有产生信息公开处理费”。</w:t>
      </w:r>
    </w:p>
    <w:p>
      <w:pPr>
        <w:rPr>
          <w:kern w:val="0"/>
        </w:rPr>
      </w:pPr>
    </w:p>
    <w:p>
      <w:pPr>
        <w:ind w:firstLine="420" w:firstLineChars="200"/>
        <w:rPr>
          <w:rFonts w:ascii="微软雅黑" w:hAnsi="微软雅黑" w:eastAsia="微软雅黑" w:cs="宋体"/>
          <w:b/>
          <w:color w:val="333333"/>
          <w:kern w:val="0"/>
          <w:szCs w:val="21"/>
        </w:rPr>
      </w:pPr>
    </w:p>
    <w:p>
      <w:pPr>
        <w:ind w:firstLine="420" w:firstLineChars="200"/>
        <w:rPr>
          <w:rFonts w:ascii="微软雅黑" w:hAnsi="微软雅黑" w:eastAsia="微软雅黑" w:cs="宋体"/>
          <w:b/>
          <w:color w:val="333333"/>
          <w:kern w:val="0"/>
          <w:szCs w:val="21"/>
        </w:rPr>
      </w:pPr>
      <w:r>
        <w:rPr>
          <w:rFonts w:hint="eastAsia" w:ascii="微软雅黑" w:hAnsi="微软雅黑" w:eastAsia="微软雅黑" w:cs="宋体"/>
          <w:b/>
          <w:color w:val="333333"/>
          <w:kern w:val="0"/>
          <w:szCs w:val="21"/>
        </w:rPr>
        <w:t xml:space="preserve">                                     2021年1月14日</w:t>
      </w:r>
    </w:p>
    <w:sectPr>
      <w:headerReference r:id="rId3" w:type="default"/>
      <w:headerReference r:id="rId4" w:type="even"/>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kZTMzMGJjNDg1NDk0NTA1ZDUwOTdjM2I4NDNjZmYifQ=="/>
  </w:docVars>
  <w:rsids>
    <w:rsidRoot w:val="00683707"/>
    <w:rsid w:val="00004161"/>
    <w:rsid w:val="00013CAD"/>
    <w:rsid w:val="000206D3"/>
    <w:rsid w:val="0003448B"/>
    <w:rsid w:val="00050531"/>
    <w:rsid w:val="0006058C"/>
    <w:rsid w:val="0006739D"/>
    <w:rsid w:val="000723F8"/>
    <w:rsid w:val="00074F74"/>
    <w:rsid w:val="000820C2"/>
    <w:rsid w:val="000A600E"/>
    <w:rsid w:val="000A605C"/>
    <w:rsid w:val="000B30F1"/>
    <w:rsid w:val="000B5ADF"/>
    <w:rsid w:val="000B7EF6"/>
    <w:rsid w:val="000C50E3"/>
    <w:rsid w:val="000C5754"/>
    <w:rsid w:val="000E7D62"/>
    <w:rsid w:val="000E7E86"/>
    <w:rsid w:val="000F4586"/>
    <w:rsid w:val="00103C2F"/>
    <w:rsid w:val="00105B7D"/>
    <w:rsid w:val="00114915"/>
    <w:rsid w:val="001201EB"/>
    <w:rsid w:val="00124F74"/>
    <w:rsid w:val="00135833"/>
    <w:rsid w:val="00140CFC"/>
    <w:rsid w:val="001528AC"/>
    <w:rsid w:val="001605EA"/>
    <w:rsid w:val="00173DFE"/>
    <w:rsid w:val="001B242D"/>
    <w:rsid w:val="001C5FBF"/>
    <w:rsid w:val="001E109E"/>
    <w:rsid w:val="00216FF6"/>
    <w:rsid w:val="00221E4E"/>
    <w:rsid w:val="00224F7E"/>
    <w:rsid w:val="0023487E"/>
    <w:rsid w:val="00255441"/>
    <w:rsid w:val="00262921"/>
    <w:rsid w:val="00273D76"/>
    <w:rsid w:val="00282A04"/>
    <w:rsid w:val="00295721"/>
    <w:rsid w:val="0029628E"/>
    <w:rsid w:val="002A5225"/>
    <w:rsid w:val="002B2A75"/>
    <w:rsid w:val="002F47B5"/>
    <w:rsid w:val="003345B6"/>
    <w:rsid w:val="00355365"/>
    <w:rsid w:val="003A31EA"/>
    <w:rsid w:val="003A5D1A"/>
    <w:rsid w:val="003D332B"/>
    <w:rsid w:val="003D360A"/>
    <w:rsid w:val="003D64A0"/>
    <w:rsid w:val="00404C3F"/>
    <w:rsid w:val="00412E89"/>
    <w:rsid w:val="00414CDB"/>
    <w:rsid w:val="00423D9B"/>
    <w:rsid w:val="00442F90"/>
    <w:rsid w:val="0045005F"/>
    <w:rsid w:val="0045310D"/>
    <w:rsid w:val="0046010E"/>
    <w:rsid w:val="00461BC0"/>
    <w:rsid w:val="004B0A8C"/>
    <w:rsid w:val="004B7B36"/>
    <w:rsid w:val="004F135E"/>
    <w:rsid w:val="004F6CBE"/>
    <w:rsid w:val="004F70A0"/>
    <w:rsid w:val="00517BFC"/>
    <w:rsid w:val="005461C8"/>
    <w:rsid w:val="00561C70"/>
    <w:rsid w:val="005641DD"/>
    <w:rsid w:val="005816FB"/>
    <w:rsid w:val="00585C95"/>
    <w:rsid w:val="00591138"/>
    <w:rsid w:val="0059179F"/>
    <w:rsid w:val="005A395B"/>
    <w:rsid w:val="005B5DBA"/>
    <w:rsid w:val="005C124F"/>
    <w:rsid w:val="005C5981"/>
    <w:rsid w:val="005C62D6"/>
    <w:rsid w:val="005D4260"/>
    <w:rsid w:val="005D52D4"/>
    <w:rsid w:val="005E05CF"/>
    <w:rsid w:val="005E7ED3"/>
    <w:rsid w:val="005F2E85"/>
    <w:rsid w:val="00603E34"/>
    <w:rsid w:val="0060712F"/>
    <w:rsid w:val="00611D5D"/>
    <w:rsid w:val="00611E7E"/>
    <w:rsid w:val="00620B38"/>
    <w:rsid w:val="0065344B"/>
    <w:rsid w:val="00666F25"/>
    <w:rsid w:val="006725A0"/>
    <w:rsid w:val="006816A3"/>
    <w:rsid w:val="00683707"/>
    <w:rsid w:val="006A4113"/>
    <w:rsid w:val="006A6737"/>
    <w:rsid w:val="006B782E"/>
    <w:rsid w:val="006C1E3E"/>
    <w:rsid w:val="006D027D"/>
    <w:rsid w:val="006D0EDA"/>
    <w:rsid w:val="006E6E13"/>
    <w:rsid w:val="006F0DF5"/>
    <w:rsid w:val="006F5C28"/>
    <w:rsid w:val="00712002"/>
    <w:rsid w:val="00736A9C"/>
    <w:rsid w:val="00754409"/>
    <w:rsid w:val="0076504B"/>
    <w:rsid w:val="00792327"/>
    <w:rsid w:val="0079396E"/>
    <w:rsid w:val="007939F3"/>
    <w:rsid w:val="00795FD7"/>
    <w:rsid w:val="007A3094"/>
    <w:rsid w:val="007C0494"/>
    <w:rsid w:val="007D2EDF"/>
    <w:rsid w:val="007E56C2"/>
    <w:rsid w:val="007F0B4E"/>
    <w:rsid w:val="008001F3"/>
    <w:rsid w:val="00813C9E"/>
    <w:rsid w:val="00847C8A"/>
    <w:rsid w:val="0086718F"/>
    <w:rsid w:val="00877622"/>
    <w:rsid w:val="00893665"/>
    <w:rsid w:val="008A3231"/>
    <w:rsid w:val="008B4258"/>
    <w:rsid w:val="008B5F92"/>
    <w:rsid w:val="008C2A91"/>
    <w:rsid w:val="008C6271"/>
    <w:rsid w:val="008F7583"/>
    <w:rsid w:val="00903A14"/>
    <w:rsid w:val="009040E1"/>
    <w:rsid w:val="0090714B"/>
    <w:rsid w:val="0091374B"/>
    <w:rsid w:val="0092063A"/>
    <w:rsid w:val="0092541A"/>
    <w:rsid w:val="00934CE1"/>
    <w:rsid w:val="00947CA3"/>
    <w:rsid w:val="00951895"/>
    <w:rsid w:val="009532B5"/>
    <w:rsid w:val="00953E1B"/>
    <w:rsid w:val="00964CEA"/>
    <w:rsid w:val="00965506"/>
    <w:rsid w:val="00967772"/>
    <w:rsid w:val="009720FA"/>
    <w:rsid w:val="00974F9C"/>
    <w:rsid w:val="009A4542"/>
    <w:rsid w:val="009C5FA2"/>
    <w:rsid w:val="009C749C"/>
    <w:rsid w:val="009F099B"/>
    <w:rsid w:val="009F2871"/>
    <w:rsid w:val="009F34FA"/>
    <w:rsid w:val="00A00D77"/>
    <w:rsid w:val="00A2565D"/>
    <w:rsid w:val="00A27E4F"/>
    <w:rsid w:val="00A318EA"/>
    <w:rsid w:val="00A34AB4"/>
    <w:rsid w:val="00A40249"/>
    <w:rsid w:val="00A425E1"/>
    <w:rsid w:val="00A547C6"/>
    <w:rsid w:val="00A67DF5"/>
    <w:rsid w:val="00A705D6"/>
    <w:rsid w:val="00A851BD"/>
    <w:rsid w:val="00A9143D"/>
    <w:rsid w:val="00AB362D"/>
    <w:rsid w:val="00AC1149"/>
    <w:rsid w:val="00AC168C"/>
    <w:rsid w:val="00AC5159"/>
    <w:rsid w:val="00AD6370"/>
    <w:rsid w:val="00AE15AD"/>
    <w:rsid w:val="00AE31C5"/>
    <w:rsid w:val="00B0288E"/>
    <w:rsid w:val="00B07BA5"/>
    <w:rsid w:val="00B1087D"/>
    <w:rsid w:val="00B14193"/>
    <w:rsid w:val="00B15987"/>
    <w:rsid w:val="00B169E9"/>
    <w:rsid w:val="00B26000"/>
    <w:rsid w:val="00B32C4F"/>
    <w:rsid w:val="00B37034"/>
    <w:rsid w:val="00B628EB"/>
    <w:rsid w:val="00B6318A"/>
    <w:rsid w:val="00B7321A"/>
    <w:rsid w:val="00B857FD"/>
    <w:rsid w:val="00B907BD"/>
    <w:rsid w:val="00B97FA4"/>
    <w:rsid w:val="00BC4AE9"/>
    <w:rsid w:val="00BD3BD9"/>
    <w:rsid w:val="00BE0BA5"/>
    <w:rsid w:val="00BE58D5"/>
    <w:rsid w:val="00BF6A01"/>
    <w:rsid w:val="00C01561"/>
    <w:rsid w:val="00C05A1A"/>
    <w:rsid w:val="00C165B8"/>
    <w:rsid w:val="00C25760"/>
    <w:rsid w:val="00C3327B"/>
    <w:rsid w:val="00C41A0D"/>
    <w:rsid w:val="00C46314"/>
    <w:rsid w:val="00C4673D"/>
    <w:rsid w:val="00C6218C"/>
    <w:rsid w:val="00C635DD"/>
    <w:rsid w:val="00C72C1A"/>
    <w:rsid w:val="00C7330C"/>
    <w:rsid w:val="00CC0B67"/>
    <w:rsid w:val="00CC3428"/>
    <w:rsid w:val="00CC7B85"/>
    <w:rsid w:val="00CD57F6"/>
    <w:rsid w:val="00CE7B78"/>
    <w:rsid w:val="00D13D6E"/>
    <w:rsid w:val="00D24F63"/>
    <w:rsid w:val="00D33038"/>
    <w:rsid w:val="00D818BD"/>
    <w:rsid w:val="00D8254B"/>
    <w:rsid w:val="00D82B99"/>
    <w:rsid w:val="00D920E4"/>
    <w:rsid w:val="00D936A3"/>
    <w:rsid w:val="00DA78CA"/>
    <w:rsid w:val="00DC7930"/>
    <w:rsid w:val="00DD66CA"/>
    <w:rsid w:val="00E04E62"/>
    <w:rsid w:val="00E05914"/>
    <w:rsid w:val="00E14143"/>
    <w:rsid w:val="00E14FD1"/>
    <w:rsid w:val="00E34E99"/>
    <w:rsid w:val="00E3702D"/>
    <w:rsid w:val="00E511B6"/>
    <w:rsid w:val="00E5302D"/>
    <w:rsid w:val="00E74A72"/>
    <w:rsid w:val="00E84314"/>
    <w:rsid w:val="00E860AE"/>
    <w:rsid w:val="00EF4EA4"/>
    <w:rsid w:val="00F20D4D"/>
    <w:rsid w:val="00F372E3"/>
    <w:rsid w:val="00F443AE"/>
    <w:rsid w:val="00F510F9"/>
    <w:rsid w:val="00FA0204"/>
    <w:rsid w:val="00FB0DF0"/>
    <w:rsid w:val="00FE0F47"/>
    <w:rsid w:val="00FE3A96"/>
    <w:rsid w:val="00FE3BC1"/>
    <w:rsid w:val="00FE4CA8"/>
    <w:rsid w:val="0C9772B7"/>
    <w:rsid w:val="2D902FF9"/>
    <w:rsid w:val="54751F96"/>
    <w:rsid w:val="59317A47"/>
    <w:rsid w:val="5FBE6A2C"/>
    <w:rsid w:val="7E4841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30"/>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21"/>
    <w:semiHidden/>
    <w:unhideWhenUsed/>
    <w:qFormat/>
    <w:uiPriority w:val="99"/>
    <w:rPr>
      <w:sz w:val="18"/>
      <w:szCs w:val="18"/>
    </w:rPr>
  </w:style>
  <w:style w:type="paragraph" w:styleId="12">
    <w:name w:val="footer"/>
    <w:basedOn w:val="1"/>
    <w:link w:val="20"/>
    <w:semiHidden/>
    <w:unhideWhenUsed/>
    <w:qFormat/>
    <w:uiPriority w:val="99"/>
    <w:pPr>
      <w:tabs>
        <w:tab w:val="center" w:pos="4153"/>
        <w:tab w:val="right" w:pos="8306"/>
      </w:tabs>
      <w:snapToGrid w:val="0"/>
      <w:jc w:val="left"/>
    </w:pPr>
    <w:rPr>
      <w:sz w:val="18"/>
      <w:szCs w:val="18"/>
    </w:rPr>
  </w:style>
  <w:style w:type="paragraph" w:styleId="13">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标题 1 Char"/>
    <w:basedOn w:val="16"/>
    <w:link w:val="2"/>
    <w:qFormat/>
    <w:uiPriority w:val="9"/>
    <w:rPr>
      <w:rFonts w:ascii="宋体" w:hAnsi="宋体" w:eastAsia="宋体" w:cs="宋体"/>
      <w:b/>
      <w:bCs/>
      <w:kern w:val="36"/>
      <w:sz w:val="48"/>
      <w:szCs w:val="48"/>
    </w:rPr>
  </w:style>
  <w:style w:type="character" w:customStyle="1" w:styleId="19">
    <w:name w:val="页眉 Char"/>
    <w:basedOn w:val="16"/>
    <w:link w:val="13"/>
    <w:semiHidden/>
    <w:qFormat/>
    <w:uiPriority w:val="99"/>
    <w:rPr>
      <w:sz w:val="18"/>
      <w:szCs w:val="18"/>
    </w:rPr>
  </w:style>
  <w:style w:type="character" w:customStyle="1" w:styleId="20">
    <w:name w:val="页脚 Char"/>
    <w:basedOn w:val="16"/>
    <w:link w:val="12"/>
    <w:semiHidden/>
    <w:qFormat/>
    <w:uiPriority w:val="99"/>
    <w:rPr>
      <w:sz w:val="18"/>
      <w:szCs w:val="18"/>
    </w:rPr>
  </w:style>
  <w:style w:type="character" w:customStyle="1" w:styleId="21">
    <w:name w:val="批注框文本 Char"/>
    <w:basedOn w:val="16"/>
    <w:link w:val="11"/>
    <w:semiHidden/>
    <w:qFormat/>
    <w:uiPriority w:val="99"/>
    <w:rPr>
      <w:kern w:val="2"/>
      <w:sz w:val="18"/>
      <w:szCs w:val="18"/>
    </w:rPr>
  </w:style>
  <w:style w:type="paragraph" w:styleId="22">
    <w:name w:val="List Paragraph"/>
    <w:basedOn w:val="1"/>
    <w:unhideWhenUsed/>
    <w:qFormat/>
    <w:uiPriority w:val="99"/>
    <w:pPr>
      <w:ind w:firstLine="420" w:firstLineChars="200"/>
    </w:pPr>
  </w:style>
  <w:style w:type="character" w:customStyle="1" w:styleId="23">
    <w:name w:val="标题 2 Char"/>
    <w:basedOn w:val="16"/>
    <w:link w:val="3"/>
    <w:qFormat/>
    <w:uiPriority w:val="9"/>
    <w:rPr>
      <w:rFonts w:asciiTheme="majorHAnsi" w:hAnsiTheme="majorHAnsi" w:eastAsiaTheme="majorEastAsia" w:cstheme="majorBidi"/>
      <w:b/>
      <w:bCs/>
      <w:kern w:val="2"/>
      <w:sz w:val="32"/>
      <w:szCs w:val="32"/>
    </w:rPr>
  </w:style>
  <w:style w:type="character" w:customStyle="1" w:styleId="24">
    <w:name w:val="标题 3 Char"/>
    <w:basedOn w:val="16"/>
    <w:link w:val="4"/>
    <w:qFormat/>
    <w:uiPriority w:val="9"/>
    <w:rPr>
      <w:b/>
      <w:bCs/>
      <w:kern w:val="2"/>
      <w:sz w:val="32"/>
      <w:szCs w:val="32"/>
    </w:rPr>
  </w:style>
  <w:style w:type="character" w:customStyle="1" w:styleId="25">
    <w:name w:val="标题 4 Char"/>
    <w:basedOn w:val="16"/>
    <w:link w:val="5"/>
    <w:qFormat/>
    <w:uiPriority w:val="9"/>
    <w:rPr>
      <w:rFonts w:asciiTheme="majorHAnsi" w:hAnsiTheme="majorHAnsi" w:eastAsiaTheme="majorEastAsia" w:cstheme="majorBidi"/>
      <w:b/>
      <w:bCs/>
      <w:kern w:val="2"/>
      <w:sz w:val="28"/>
      <w:szCs w:val="28"/>
    </w:rPr>
  </w:style>
  <w:style w:type="character" w:customStyle="1" w:styleId="26">
    <w:name w:val="标题 5 Char"/>
    <w:basedOn w:val="16"/>
    <w:link w:val="6"/>
    <w:qFormat/>
    <w:uiPriority w:val="9"/>
    <w:rPr>
      <w:b/>
      <w:bCs/>
      <w:kern w:val="2"/>
      <w:sz w:val="28"/>
      <w:szCs w:val="28"/>
    </w:rPr>
  </w:style>
  <w:style w:type="character" w:customStyle="1" w:styleId="27">
    <w:name w:val="标题 6 Char"/>
    <w:basedOn w:val="16"/>
    <w:link w:val="7"/>
    <w:qFormat/>
    <w:uiPriority w:val="9"/>
    <w:rPr>
      <w:rFonts w:asciiTheme="majorHAnsi" w:hAnsiTheme="majorHAnsi" w:eastAsiaTheme="majorEastAsia" w:cstheme="majorBidi"/>
      <w:b/>
      <w:bCs/>
      <w:kern w:val="2"/>
      <w:sz w:val="24"/>
      <w:szCs w:val="24"/>
    </w:rPr>
  </w:style>
  <w:style w:type="character" w:customStyle="1" w:styleId="28">
    <w:name w:val="标题 7 Char"/>
    <w:basedOn w:val="16"/>
    <w:link w:val="8"/>
    <w:qFormat/>
    <w:uiPriority w:val="9"/>
    <w:rPr>
      <w:b/>
      <w:bCs/>
      <w:kern w:val="2"/>
      <w:sz w:val="24"/>
      <w:szCs w:val="24"/>
    </w:rPr>
  </w:style>
  <w:style w:type="character" w:customStyle="1" w:styleId="29">
    <w:name w:val="标题 8 Char"/>
    <w:basedOn w:val="16"/>
    <w:link w:val="9"/>
    <w:qFormat/>
    <w:uiPriority w:val="9"/>
    <w:rPr>
      <w:rFonts w:asciiTheme="majorHAnsi" w:hAnsiTheme="majorHAnsi" w:eastAsiaTheme="majorEastAsia" w:cstheme="majorBidi"/>
      <w:kern w:val="2"/>
      <w:sz w:val="24"/>
      <w:szCs w:val="24"/>
    </w:rPr>
  </w:style>
  <w:style w:type="character" w:customStyle="1" w:styleId="30">
    <w:name w:val="标题 9 Char"/>
    <w:basedOn w:val="16"/>
    <w:link w:val="10"/>
    <w:qFormat/>
    <w:uiPriority w:val="9"/>
    <w:rPr>
      <w:rFonts w:asciiTheme="majorHAnsi" w:hAnsiTheme="majorHAnsi" w:eastAsiaTheme="majorEastAsia" w:cstheme="majorBidi"/>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2718</Words>
  <Characters>2898</Characters>
  <Lines>23</Lines>
  <Paragraphs>6</Paragraphs>
  <TotalTime>1932</TotalTime>
  <ScaleCrop>false</ScaleCrop>
  <LinksUpToDate>false</LinksUpToDate>
  <CharactersWithSpaces>2964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2021-01-12T04:52:00Z</dcterms:created>
  <dc:creator>admin</dc:creator>
  <cp:lastModifiedBy>momo</cp:lastModifiedBy>
  <cp:lastPrinted>2022-01-13T08:52:00Z</cp:lastPrinted>
  <dcterms:modified xsi:type="dcterms:W3CDTF">2024-07-02T03:31:08Z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8C7A2BC1B4554C679114F1331FC8D983_13</vt:lpwstr>
  </property>
</Properties>
</file>