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</w:pPr>
      <w: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     本报告依据《中华人民共和国政府信息公开条例》（国务院令第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711号，以下简称新《条例》)、《六安市政务公开办公室关于做好2022年度政府信息公开年度报告编制和发布工作的通知》（六政务公开办〔2022〕53号）、《金寨县政务公开办公室关于做好2022年度政府信息公开年度报告编制和发布工作的通知》（金政公开〔2023〕1号）要求编制而成。报告主要包括：总体情况、主动公开政府信息情况、收到和处理政府信息公开申请情况、政府信息公开行政复议、行政诉讼情况、存在的主要问题及改进情况和其他需要报告的事项。本报告中使用数据统计期限为2022年1月1日至12月31日，报告的电子版可在金寨县花石乡信息公开网（https://www.ahjinzhai.gov.cn/public/column/6597241?type=4&amp;action=list&amp;nav=3&amp;catId=7060331）下载。如对本报告有任何疑问，请与花石乡人民政府政务公开办联系（地址：花石乡政府二楼，电话：0564-7478001，邮编：237354。）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both"/>
        <w:textAlignment w:val="auto"/>
      </w:pPr>
      <w:r>
        <w:rPr>
          <w:rFonts w:ascii="黑体" w:hAnsi="宋体" w:eastAsia="黑体" w:cs="黑体"/>
          <w:color w:val="333333"/>
          <w:kern w:val="0"/>
          <w:sz w:val="32"/>
          <w:szCs w:val="32"/>
          <w:shd w:val="clear" w:fill="FFFFFF"/>
          <w:lang w:val="en-US" w:eastAsia="zh-CN" w:bidi="ar"/>
        </w:rPr>
        <w:t>一、总体情况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textAlignment w:val="auto"/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2022年，花石乡结合工作实际，聚焦主责主业，坚持公开为常态、不公开为例外。科学规范主动公开、依规做好依申请公开，全面建设完成花石乡政务公开专区，持续做好政务公开工作，推动政府信息公开工作水平稳步提升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textAlignment w:val="auto"/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1.主动公开情况：2022年，花石乡主动公开各类政府信息1055条。部分重点工作开展情况如下：发布针对群众关注的热点问题及政策文件66条，关联配套解读5条；集中公开财政专项资金类信息470条，包含医保、养老、民政、农业多个种类；按月分解年度重点工作任务、按时发布预警信息及应对情况信息共177条；收集人大、政协建议提案16条，各部门应急管理类信息62条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textAlignment w:val="auto"/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2.依申请公开：2022年，我乡及时更新政府信息指南，列明各类依申请公开受理渠道，依法保障申请人合理信息公开需求。2022全年共受理依申请公开1件，全面按时完成回复，未发生行政复议和行政诉讼案件。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textAlignment w:val="auto"/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3.政府信息管理：坚持“先审查后公开”的原则，不发布与政府职能没有直接关联的信息、不发布任何涉及国家安全和有保密要求的信息、不发布未经审核的信息。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textAlignment w:val="auto"/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4.政府信息公开平台建设情况：2022年，我乡紧贴群众需求，结合红色旅游，科学谋划布局，积极打造花石特色政务公开专区。包含政府信息查询区、政策查询区、依申请公开接收区、文件资料阅览区、等待休息体验区5个功能区，为群众提供权威、准确、高效、智能的一站式信息化服务平台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textAlignment w:val="auto"/>
      </w:pPr>
      <w:r>
        <w:rPr>
          <w:rFonts w:hint="eastAsia" w:ascii="仿宋_GB2312" w:eastAsia="仿宋_GB2312" w:cs="仿宋_GB2312" w:hAnsiTheme="minorHAnsi"/>
          <w:color w:val="000000"/>
          <w:kern w:val="0"/>
          <w:sz w:val="32"/>
          <w:szCs w:val="32"/>
          <w:shd w:val="clear" w:fill="FFFFFF"/>
          <w:lang w:val="en-US" w:eastAsia="zh-CN" w:bidi="ar"/>
        </w:rPr>
        <w:t>5.监督保障：严格按照县政务公开办工作要求，每周登陆网站查缺补漏并进行相应更新，明确规定各部门每月上报政务信息的时限和数量。根据省市县政府季度监测情况，形成整改报告和整改清单，并作为对乡政务公开工作人员考核的重要指标。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2022年积极开展社会评议，未产生需要责任追究的事项。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both"/>
        <w:textAlignment w:val="auto"/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fill="FFFFFF"/>
          <w:lang w:val="en-US" w:eastAsia="zh-CN" w:bidi="ar"/>
        </w:rPr>
        <w:t>二、主动公开政府信息情况</w:t>
      </w:r>
    </w:p>
    <w:tbl>
      <w:tblPr>
        <w:tblW w:w="92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5"/>
        <w:gridCol w:w="2356"/>
        <w:gridCol w:w="2341"/>
        <w:gridCol w:w="23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    0 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  0 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ascii="Calibri" w:hAnsi="Calibri" w:eastAsia="仿宋_GB2312" w:cs="Calibri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                 0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both"/>
        <w:textAlignment w:val="auto"/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both"/>
        <w:textAlignment w:val="auto"/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fill="FFFFFF"/>
          <w:lang w:val="en-US" w:eastAsia="zh-CN" w:bidi="ar"/>
        </w:rPr>
        <w:t> 三、收到和处理政府信息公开申请情况</w:t>
      </w:r>
    </w:p>
    <w:tbl>
      <w:tblPr>
        <w:tblW w:w="974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3"/>
        <w:gridCol w:w="3219"/>
        <w:gridCol w:w="688"/>
        <w:gridCol w:w="688"/>
        <w:gridCol w:w="688"/>
        <w:gridCol w:w="688"/>
        <w:gridCol w:w="688"/>
        <w:gridCol w:w="688"/>
        <w:gridCol w:w="68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92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（三）不予公开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（四）无法提供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（五）不予处理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（六）其他处理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微软雅黑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default" w:ascii="Calibri" w:hAnsi="Calibri" w:eastAsia="仿宋_GB2312" w:cs="Calibri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fill="FFFFFF"/>
          <w:lang w:val="en-US" w:eastAsia="zh-CN" w:bidi="ar"/>
        </w:rPr>
        <w:t>   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fill="FFFFFF"/>
          <w:lang w:val="en-US" w:eastAsia="zh-CN" w:bidi="ar"/>
        </w:rPr>
        <w:t> 四、政府信息公开行政复议、行政诉讼情况</w:t>
      </w:r>
      <w:r>
        <w:rPr>
          <w:rFonts w:hint="eastAsia" w:ascii="黑体" w:hAnsi="宋体" w:eastAsia="黑体" w:cs="黑体"/>
          <w:color w:val="333333"/>
          <w:kern w:val="0"/>
          <w:sz w:val="24"/>
          <w:szCs w:val="24"/>
          <w:shd w:val="clear" w:fill="FFFFFF"/>
          <w:lang w:val="en-US" w:eastAsia="zh-CN" w:bidi="ar"/>
        </w:rPr>
        <w:t xml:space="preserve"> </w:t>
      </w:r>
    </w:p>
    <w:tbl>
      <w:tblPr>
        <w:tblW w:w="974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330" w:hRule="atLeast"/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fill="FFFFFF"/>
          <w:lang w:val="en-US" w:eastAsia="zh-CN" w:bidi="ar"/>
        </w:rPr>
        <w:t>    五、存在的主要问题及改进情况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3"/>
        <w:jc w:val="both"/>
        <w:textAlignment w:val="auto"/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1.存在问题：一是政策解读工作有待进一步加强，解读质量有待提高，二是基层政务公开工作人员业务水平和工作积极性不高；三是政府信息公开形式单一，专区未能有效利用，需要加强宣传推广。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3"/>
        <w:jc w:val="both"/>
        <w:textAlignment w:val="auto"/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.改进情况：一是进一步强化政策解读工作，明确解读要素、解读形式，加强图表图解、音频视频等可视、可读、可感的方式解读。发挥政务新媒体作用，做好政策解读，加强政民互动。二是进一步加强政府信息公开业务学习和培训，通过开展培训会和交流会，提高业务人员的素质，打造工作作风实、业务能力强的信息公开人才队伍。三是开展多种形式的宣传活动，创造条件，让更多群众了解专区的功能，掌握查询方式，充分保障其知情权、参与权和监督权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textAlignment w:val="auto"/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fill="FFFFFF"/>
          <w:lang w:val="en-US" w:eastAsia="zh-CN" w:bidi="ar"/>
        </w:rPr>
        <w:t>六、其他需要报告的事项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3"/>
        <w:jc w:val="both"/>
        <w:textAlignment w:val="auto"/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按照《国务院办公厅关于印发〈政府信息公开信息处理费管理办法〉的通知》（国办函〔2020〕109号）规定的按件、按量收费标准，本年度没有产生信息公开处理费。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3"/>
        <w:jc w:val="both"/>
        <w:textAlignment w:val="auto"/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                                                                金寨县花石乡人民政府办公室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3"/>
        <w:jc w:val="both"/>
        <w:textAlignment w:val="auto"/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                      2023年1月16日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both"/>
        <w:textAlignment w:val="auto"/>
      </w:pP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3"/>
        <w:jc w:val="both"/>
        <w:textAlignment w:val="auto"/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_GB2312">
    <w:altName w:val="楷体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yOThlNDQ3OTI1NTVkODdiODBhNTA3ZTM1NzlhYTMifQ=="/>
  </w:docVars>
  <w:rsids>
    <w:rsidRoot w:val="5FFA4F57"/>
    <w:rsid w:val="1EAE0895"/>
    <w:rsid w:val="442F19E9"/>
    <w:rsid w:val="5FFA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2603</Words>
  <Characters>2916</Characters>
  <Lines>0</Lines>
  <Paragraphs>0</Paragraphs>
  <TotalTime>278</TotalTime>
  <ScaleCrop>false</ScaleCrop>
  <LinksUpToDate>false</LinksUpToDate>
  <CharactersWithSpaces>3133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2024-07-02T02:28:00Z</dcterms:created>
  <dc:creator>M鹿夫人M</dc:creator>
  <cp:lastModifiedBy>M鹿夫人M</cp:lastModifiedBy>
  <dcterms:modified xsi:type="dcterms:W3CDTF">2024-07-02T07:08:39Z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9DCA7389D9F24475A39140DAEFD2A384_13</vt:lpwstr>
  </property>
</Properties>
</file>