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ascii="方正小标宋简体" w:hAnsi="微软雅黑" w:eastAsia="方正小标宋简体" w:cs="宋体"/>
          <w:color w:val="000000"/>
          <w:kern w:val="0"/>
          <w:sz w:val="44"/>
          <w:szCs w:val="44"/>
        </w:rPr>
      </w:pPr>
      <w:r>
        <w:rPr>
          <w:rFonts w:hint="eastAsia" w:ascii="方正小标宋简体" w:hAnsi="微软雅黑" w:eastAsia="方正小标宋简体" w:cs="宋体"/>
          <w:color w:val="000000"/>
          <w:kern w:val="0"/>
          <w:sz w:val="44"/>
          <w:szCs w:val="44"/>
        </w:rPr>
        <w:t>20</w:t>
      </w:r>
      <w:r>
        <w:rPr>
          <w:rFonts w:hint="eastAsia" w:ascii="方正小标宋简体" w:hAnsi="微软雅黑" w:eastAsia="方正小标宋简体" w:cs="宋体"/>
          <w:color w:val="000000"/>
          <w:kern w:val="0"/>
          <w:sz w:val="44"/>
          <w:szCs w:val="44"/>
          <w:lang w:val="en-US" w:eastAsia="zh-CN"/>
        </w:rPr>
        <w:t>20</w:t>
      </w:r>
      <w:r>
        <w:rPr>
          <w:rFonts w:hint="eastAsia" w:ascii="方正小标宋简体" w:hAnsi="微软雅黑" w:eastAsia="方正小标宋简体" w:cs="宋体"/>
          <w:color w:val="000000"/>
          <w:kern w:val="0"/>
          <w:sz w:val="44"/>
          <w:szCs w:val="44"/>
        </w:rPr>
        <w:t>年政府信息公开工作年度报告</w:t>
      </w:r>
    </w:p>
    <w:p>
      <w:pPr>
        <w:keepNext w:val="0"/>
        <w:keepLines w:val="0"/>
        <w:pageBreakBefore w:val="0"/>
        <w:widowControl/>
        <w:kinsoku/>
        <w:wordWrap/>
        <w:overflowPunct/>
        <w:topLinePunct w:val="0"/>
        <w:autoSpaceDE/>
        <w:autoSpaceDN/>
        <w:bidi w:val="0"/>
        <w:adjustRightInd/>
        <w:snapToGrid/>
        <w:spacing w:line="520" w:lineRule="exact"/>
        <w:jc w:val="left"/>
        <w:textAlignment w:val="auto"/>
        <w:rPr>
          <w:rFonts w:hint="eastAsia" w:ascii="微软雅黑" w:hAnsi="微软雅黑" w:eastAsia="仿宋_GB2312" w:cs="宋体"/>
          <w:color w:val="000000"/>
          <w:kern w:val="0"/>
          <w:sz w:val="24"/>
          <w:szCs w:val="24"/>
        </w:rPr>
      </w:pPr>
      <w:r>
        <w:rPr>
          <w:rFonts w:hint="eastAsia" w:ascii="微软雅黑" w:hAnsi="微软雅黑" w:eastAsia="仿宋_GB2312" w:cs="宋体"/>
          <w:color w:val="000000"/>
          <w:kern w:val="0"/>
          <w:sz w:val="24"/>
          <w:szCs w:val="24"/>
        </w:rPr>
        <w:t> </w:t>
      </w:r>
    </w:p>
    <w:p>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仿宋_GB2312" w:hAnsi="仿宋_GB2312" w:eastAsia="仿宋_GB2312" w:cs="仿宋_GB2312"/>
          <w:sz w:val="32"/>
          <w:szCs w:val="32"/>
        </w:rPr>
        <w:t>本报告依据《中华人民共和国政府信息公开条例》（国务院令第711号，以下简称新《条例》）、《六安市人民政府办公室关于做好政府信息公开年度报告编制工作的通知》（六政办秘〔2020〕161号）和《金寨县政务公开办公室关于做好2020年度政府信息公开年度报告编制工作的通知》（金政公开〔2021〕2号）文件要求编制而成。报告主要包括：总体情况、行政机关主动公开政府信息情况、收到和处理政府信息公开申请情况、政府信息公开行政复议及行政诉讼情况、政府信息公开工作存在的主要问题及改进情况和其他需要报告的事项。本报告中使用数据统计期限为2020年1月1日至12月31日，报告的电子版可在金寨县信息公开网（http://www.ahjinzhai.gov.cn/public/column/6596501?type=4&amp;action=list）下载。如对本报告有任何疑问，</w:t>
      </w:r>
      <w:r>
        <w:rPr>
          <w:rFonts w:hint="eastAsia" w:ascii="仿宋_GB2312" w:hAnsi="仿宋_GB2312" w:eastAsia="仿宋_GB2312" w:cs="仿宋_GB2312"/>
          <w:i w:val="0"/>
          <w:caps w:val="0"/>
          <w:color w:val="333333"/>
          <w:spacing w:val="0"/>
          <w:sz w:val="32"/>
          <w:szCs w:val="32"/>
          <w:highlight w:val="none"/>
        </w:rPr>
        <w:t>请与金寨县</w:t>
      </w:r>
      <w:r>
        <w:rPr>
          <w:rFonts w:hint="eastAsia" w:ascii="仿宋_GB2312" w:hAnsi="仿宋_GB2312" w:eastAsia="仿宋_GB2312" w:cs="仿宋_GB2312"/>
          <w:i w:val="0"/>
          <w:caps w:val="0"/>
          <w:color w:val="333333"/>
          <w:spacing w:val="0"/>
          <w:sz w:val="32"/>
          <w:szCs w:val="32"/>
          <w:highlight w:val="none"/>
          <w:lang w:eastAsia="zh-CN"/>
        </w:rPr>
        <w:t>融媒体中心</w:t>
      </w:r>
      <w:r>
        <w:rPr>
          <w:rFonts w:hint="eastAsia" w:ascii="仿宋_GB2312" w:hAnsi="仿宋_GB2312" w:eastAsia="仿宋_GB2312" w:cs="仿宋_GB2312"/>
          <w:i w:val="0"/>
          <w:caps w:val="0"/>
          <w:color w:val="333333"/>
          <w:spacing w:val="0"/>
          <w:sz w:val="32"/>
          <w:szCs w:val="32"/>
          <w:highlight w:val="none"/>
        </w:rPr>
        <w:t>办</w:t>
      </w:r>
      <w:r>
        <w:rPr>
          <w:rFonts w:hint="eastAsia" w:ascii="仿宋_GB2312" w:hAnsi="仿宋_GB2312" w:eastAsia="仿宋_GB2312" w:cs="仿宋_GB2312"/>
          <w:i w:val="0"/>
          <w:caps w:val="0"/>
          <w:color w:val="333333"/>
          <w:spacing w:val="0"/>
          <w:sz w:val="32"/>
          <w:szCs w:val="32"/>
          <w:highlight w:val="none"/>
          <w:lang w:eastAsia="zh-CN"/>
        </w:rPr>
        <w:t>公室</w:t>
      </w:r>
      <w:r>
        <w:rPr>
          <w:rFonts w:hint="eastAsia" w:ascii="仿宋_GB2312" w:hAnsi="仿宋_GB2312" w:eastAsia="仿宋_GB2312" w:cs="仿宋_GB2312"/>
          <w:i w:val="0"/>
          <w:caps w:val="0"/>
          <w:color w:val="333333"/>
          <w:spacing w:val="0"/>
          <w:sz w:val="32"/>
          <w:szCs w:val="32"/>
          <w:highlight w:val="none"/>
        </w:rPr>
        <w:t>联系（地址：金寨县</w:t>
      </w:r>
      <w:r>
        <w:rPr>
          <w:rFonts w:hint="eastAsia" w:ascii="仿宋_GB2312" w:hAnsi="仿宋_GB2312" w:eastAsia="仿宋_GB2312" w:cs="仿宋_GB2312"/>
          <w:i w:val="0"/>
          <w:caps w:val="0"/>
          <w:color w:val="333333"/>
          <w:spacing w:val="0"/>
          <w:sz w:val="32"/>
          <w:szCs w:val="32"/>
          <w:highlight w:val="none"/>
          <w:lang w:eastAsia="zh-CN"/>
        </w:rPr>
        <w:t>梅山镇新区广电中心</w:t>
      </w:r>
      <w:r>
        <w:rPr>
          <w:rFonts w:hint="eastAsia" w:ascii="仿宋_GB2312" w:hAnsi="仿宋_GB2312" w:eastAsia="仿宋_GB2312" w:cs="仿宋_GB2312"/>
          <w:i w:val="0"/>
          <w:caps w:val="0"/>
          <w:color w:val="333333"/>
          <w:spacing w:val="0"/>
          <w:sz w:val="32"/>
          <w:szCs w:val="32"/>
          <w:highlight w:val="none"/>
        </w:rPr>
        <w:t>，电话：0564--</w:t>
      </w:r>
      <w:r>
        <w:rPr>
          <w:rFonts w:hint="eastAsia" w:ascii="仿宋_GB2312" w:hAnsi="仿宋_GB2312" w:eastAsia="仿宋_GB2312" w:cs="仿宋_GB2312"/>
          <w:i w:val="0"/>
          <w:caps w:val="0"/>
          <w:color w:val="333333"/>
          <w:spacing w:val="0"/>
          <w:sz w:val="32"/>
          <w:szCs w:val="32"/>
          <w:highlight w:val="none"/>
          <w:lang w:val="en-US" w:eastAsia="zh-CN"/>
        </w:rPr>
        <w:t>2702933</w:t>
      </w:r>
      <w:r>
        <w:rPr>
          <w:rFonts w:hint="eastAsia" w:ascii="仿宋_GB2312" w:hAnsi="仿宋_GB2312" w:eastAsia="仿宋_GB2312" w:cs="仿宋_GB2312"/>
          <w:i w:val="0"/>
          <w:caps w:val="0"/>
          <w:color w:val="333333"/>
          <w:spacing w:val="0"/>
          <w:sz w:val="32"/>
          <w:szCs w:val="32"/>
          <w:highlight w:val="none"/>
        </w:rPr>
        <w:t>，邮编：237300）。</w:t>
      </w:r>
    </w:p>
    <w:p>
      <w:pPr>
        <w:keepNext w:val="0"/>
        <w:keepLines w:val="0"/>
        <w:pageBreakBefore w:val="0"/>
        <w:numPr>
          <w:ilvl w:val="0"/>
          <w:numId w:val="1"/>
        </w:numPr>
        <w:kinsoku/>
        <w:wordWrap/>
        <w:overflowPunct/>
        <w:topLinePunct w:val="0"/>
        <w:autoSpaceDE/>
        <w:autoSpaceDN/>
        <w:bidi w:val="0"/>
        <w:adjustRightInd/>
        <w:snapToGrid/>
        <w:spacing w:line="500" w:lineRule="exact"/>
        <w:ind w:firstLine="595" w:firstLineChars="196"/>
        <w:textAlignment w:val="auto"/>
        <w:rPr>
          <w:rFonts w:hint="eastAsia" w:ascii="黑体" w:hAnsi="黑体" w:eastAsia="黑体" w:cs="黑体"/>
          <w:color w:val="333333"/>
          <w:w w:val="95"/>
          <w:sz w:val="32"/>
          <w:szCs w:val="32"/>
          <w:highlight w:val="none"/>
        </w:rPr>
      </w:pPr>
      <w:r>
        <w:rPr>
          <w:rFonts w:hint="eastAsia" w:ascii="黑体" w:hAnsi="黑体" w:eastAsia="黑体" w:cs="黑体"/>
          <w:color w:val="333333"/>
          <w:w w:val="95"/>
          <w:sz w:val="32"/>
          <w:szCs w:val="32"/>
          <w:highlight w:val="none"/>
        </w:rPr>
        <w:t>总体情况</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333333"/>
          <w:w w:val="95"/>
          <w:sz w:val="32"/>
          <w:szCs w:val="32"/>
          <w:highlight w:val="none"/>
        </w:rPr>
      </w:pPr>
      <w:r>
        <w:rPr>
          <w:rFonts w:hint="eastAsia" w:ascii="仿宋_GB2312" w:hAnsi="仿宋_GB2312" w:eastAsia="仿宋_GB2312" w:cs="仿宋_GB2312"/>
          <w:i w:val="0"/>
          <w:caps w:val="0"/>
          <w:color w:val="000000"/>
          <w:spacing w:val="0"/>
          <w:sz w:val="32"/>
          <w:szCs w:val="32"/>
          <w:highlight w:val="none"/>
          <w:shd w:val="clear" w:fill="FFFFFF"/>
        </w:rPr>
        <w:t>20</w:t>
      </w:r>
      <w:r>
        <w:rPr>
          <w:rFonts w:hint="eastAsia" w:ascii="仿宋_GB2312" w:hAnsi="仿宋_GB2312" w:eastAsia="仿宋_GB2312" w:cs="仿宋_GB2312"/>
          <w:i w:val="0"/>
          <w:caps w:val="0"/>
          <w:color w:val="000000"/>
          <w:spacing w:val="0"/>
          <w:sz w:val="32"/>
          <w:szCs w:val="32"/>
          <w:highlight w:val="none"/>
          <w:shd w:val="clear" w:fill="FFFFFF"/>
          <w:lang w:eastAsia="zh-CN"/>
        </w:rPr>
        <w:t>2</w:t>
      </w:r>
      <w:r>
        <w:rPr>
          <w:rFonts w:hint="eastAsia" w:ascii="仿宋_GB2312" w:hAnsi="仿宋_GB2312" w:eastAsia="仿宋_GB2312" w:cs="仿宋_GB2312"/>
          <w:i w:val="0"/>
          <w:caps w:val="0"/>
          <w:color w:val="000000"/>
          <w:spacing w:val="0"/>
          <w:sz w:val="32"/>
          <w:szCs w:val="32"/>
          <w:highlight w:val="none"/>
          <w:shd w:val="clear" w:fill="FFFFFF"/>
          <w:lang w:val="en-US" w:eastAsia="zh-CN"/>
        </w:rPr>
        <w:t>0</w:t>
      </w:r>
      <w:r>
        <w:rPr>
          <w:rFonts w:hint="eastAsia" w:ascii="仿宋_GB2312" w:hAnsi="仿宋_GB2312" w:eastAsia="仿宋_GB2312" w:cs="仿宋_GB2312"/>
          <w:i w:val="0"/>
          <w:caps w:val="0"/>
          <w:color w:val="000000"/>
          <w:spacing w:val="0"/>
          <w:sz w:val="32"/>
          <w:szCs w:val="32"/>
          <w:highlight w:val="none"/>
          <w:shd w:val="clear" w:fill="FFFFFF"/>
        </w:rPr>
        <w:t>年，在县政府的领导下，</w:t>
      </w:r>
      <w:r>
        <w:rPr>
          <w:rFonts w:hint="eastAsia" w:ascii="仿宋_GB2312" w:hAnsi="仿宋_GB2312" w:eastAsia="仿宋_GB2312" w:cs="仿宋_GB2312"/>
          <w:i w:val="0"/>
          <w:caps w:val="0"/>
          <w:color w:val="000000"/>
          <w:spacing w:val="0"/>
          <w:sz w:val="32"/>
          <w:szCs w:val="32"/>
          <w:highlight w:val="none"/>
          <w:shd w:val="clear" w:fill="FFFFFF"/>
          <w:lang w:eastAsia="zh-CN"/>
        </w:rPr>
        <w:t>我中心</w:t>
      </w:r>
      <w:r>
        <w:rPr>
          <w:rFonts w:hint="eastAsia" w:ascii="仿宋_GB2312" w:hAnsi="仿宋_GB2312" w:eastAsia="仿宋_GB2312" w:cs="仿宋_GB2312"/>
          <w:i w:val="0"/>
          <w:caps w:val="0"/>
          <w:color w:val="000000"/>
          <w:spacing w:val="0"/>
          <w:sz w:val="32"/>
          <w:szCs w:val="32"/>
          <w:highlight w:val="none"/>
          <w:shd w:val="clear" w:fill="FFFFFF"/>
        </w:rPr>
        <w:t>全面贯彻《中华人民共和国政府信息公开条例》，</w:t>
      </w:r>
      <w:r>
        <w:rPr>
          <w:rFonts w:hint="eastAsia" w:ascii="仿宋_GB2312" w:hAnsi="仿宋_GB2312" w:eastAsia="仿宋_GB2312" w:cs="仿宋_GB2312"/>
          <w:i w:val="0"/>
          <w:caps w:val="0"/>
          <w:color w:val="000000"/>
          <w:spacing w:val="0"/>
          <w:sz w:val="32"/>
          <w:szCs w:val="32"/>
          <w:highlight w:val="none"/>
          <w:shd w:val="clear" w:fill="FFFFFF"/>
          <w:lang w:eastAsia="zh-CN"/>
        </w:rPr>
        <w:t>中心</w:t>
      </w:r>
      <w:r>
        <w:rPr>
          <w:rFonts w:hint="eastAsia" w:ascii="仿宋_GB2312" w:hAnsi="仿宋_GB2312" w:eastAsia="仿宋_GB2312" w:cs="仿宋_GB2312"/>
          <w:i w:val="0"/>
          <w:caps w:val="0"/>
          <w:color w:val="000000"/>
          <w:spacing w:val="0"/>
          <w:sz w:val="32"/>
          <w:szCs w:val="32"/>
          <w:highlight w:val="none"/>
          <w:shd w:val="clear" w:fill="FFFFFF"/>
        </w:rPr>
        <w:t>领导高度重视</w:t>
      </w:r>
      <w:r>
        <w:rPr>
          <w:rFonts w:hint="eastAsia" w:ascii="仿宋_GB2312" w:hAnsi="仿宋_GB2312" w:eastAsia="仿宋_GB2312" w:cs="仿宋_GB2312"/>
          <w:i w:val="0"/>
          <w:caps w:val="0"/>
          <w:color w:val="000000"/>
          <w:spacing w:val="0"/>
          <w:sz w:val="32"/>
          <w:szCs w:val="32"/>
          <w:highlight w:val="none"/>
          <w:shd w:val="clear" w:fill="FFFFFF"/>
          <w:lang w:eastAsia="zh-CN"/>
        </w:rPr>
        <w:t>政务</w:t>
      </w:r>
      <w:r>
        <w:rPr>
          <w:rFonts w:hint="eastAsia" w:ascii="仿宋_GB2312" w:hAnsi="仿宋_GB2312" w:eastAsia="仿宋_GB2312" w:cs="仿宋_GB2312"/>
          <w:i w:val="0"/>
          <w:caps w:val="0"/>
          <w:color w:val="000000"/>
          <w:spacing w:val="0"/>
          <w:sz w:val="32"/>
          <w:szCs w:val="32"/>
          <w:highlight w:val="none"/>
          <w:shd w:val="clear" w:fill="FFFFFF"/>
        </w:rPr>
        <w:t>公开工作，指定专人上传和审核信息，压实责任，确保信息真实准确，同时将信息公开作为年终考核的重要指标，保障公开工作顺利推进。</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楷体_GB2312" w:hAnsi="楷体_GB2312" w:eastAsia="楷体_GB2312" w:cs="楷体_GB2312"/>
          <w:b/>
          <w:bCs/>
          <w:color w:val="000000"/>
          <w:kern w:val="0"/>
          <w:sz w:val="32"/>
          <w:szCs w:val="32"/>
          <w:highlight w:val="none"/>
          <w:lang w:eastAsia="zh-CN"/>
        </w:rPr>
        <w:t>（一）主动公开情况。</w:t>
      </w:r>
      <w:r>
        <w:rPr>
          <w:rFonts w:hint="eastAsia" w:ascii="仿宋_GB2312" w:hAnsi="仿宋_GB2312" w:eastAsia="仿宋_GB2312" w:cs="仿宋_GB2312"/>
          <w:i w:val="0"/>
          <w:caps w:val="0"/>
          <w:color w:val="000000"/>
          <w:spacing w:val="0"/>
          <w:sz w:val="32"/>
          <w:szCs w:val="32"/>
          <w:highlight w:val="none"/>
          <w:shd w:val="clear" w:fill="FFFFFF"/>
        </w:rPr>
        <w:t>主动公开机构领导、机构设置、人事变动、规划计划、政策法规、决策制度、</w:t>
      </w:r>
      <w:r>
        <w:rPr>
          <w:rFonts w:hint="eastAsia" w:ascii="仿宋_GB2312" w:hAnsi="仿宋_GB2312" w:eastAsia="仿宋_GB2312" w:cs="仿宋_GB2312"/>
          <w:i w:val="0"/>
          <w:caps w:val="0"/>
          <w:color w:val="000000"/>
          <w:spacing w:val="0"/>
          <w:sz w:val="32"/>
          <w:szCs w:val="32"/>
          <w:highlight w:val="none"/>
          <w:shd w:val="clear" w:fill="FFFFFF"/>
          <w:lang w:eastAsia="zh-CN"/>
        </w:rPr>
        <w:t>招标采购、精准扶贫</w:t>
      </w:r>
      <w:r>
        <w:rPr>
          <w:rFonts w:hint="eastAsia" w:ascii="仿宋_GB2312" w:hAnsi="仿宋_GB2312" w:eastAsia="仿宋_GB2312" w:cs="仿宋_GB2312"/>
          <w:i w:val="0"/>
          <w:caps w:val="0"/>
          <w:color w:val="000000"/>
          <w:spacing w:val="0"/>
          <w:sz w:val="32"/>
          <w:szCs w:val="32"/>
          <w:highlight w:val="none"/>
          <w:shd w:val="clear" w:fill="FFFFFF"/>
        </w:rPr>
        <w:t>等重点工作信息。及时公开财政资金信息，包括部门预决算、专项资金、“三公”经费信息。全年，我</w:t>
      </w:r>
      <w:r>
        <w:rPr>
          <w:rFonts w:hint="eastAsia" w:ascii="仿宋_GB2312" w:hAnsi="仿宋_GB2312" w:eastAsia="仿宋_GB2312" w:cs="仿宋_GB2312"/>
          <w:i w:val="0"/>
          <w:caps w:val="0"/>
          <w:color w:val="000000"/>
          <w:spacing w:val="0"/>
          <w:sz w:val="32"/>
          <w:szCs w:val="32"/>
          <w:highlight w:val="none"/>
          <w:shd w:val="clear" w:fill="FFFFFF"/>
          <w:lang w:eastAsia="zh-CN"/>
        </w:rPr>
        <w:t>中心</w:t>
      </w:r>
      <w:r>
        <w:rPr>
          <w:rFonts w:hint="eastAsia" w:ascii="仿宋_GB2312" w:hAnsi="仿宋_GB2312" w:eastAsia="仿宋_GB2312" w:cs="仿宋_GB2312"/>
          <w:i w:val="0"/>
          <w:caps w:val="0"/>
          <w:color w:val="000000"/>
          <w:spacing w:val="0"/>
          <w:sz w:val="32"/>
          <w:szCs w:val="32"/>
          <w:highlight w:val="none"/>
          <w:shd w:val="clear" w:fill="FFFFFF"/>
        </w:rPr>
        <w:t>主动公开各类政府信息</w:t>
      </w:r>
      <w:r>
        <w:rPr>
          <w:rFonts w:hint="eastAsia" w:ascii="仿宋_GB2312" w:hAnsi="仿宋_GB2312" w:eastAsia="仿宋_GB2312" w:cs="仿宋_GB2312"/>
          <w:i w:val="0"/>
          <w:caps w:val="0"/>
          <w:color w:val="000000"/>
          <w:spacing w:val="0"/>
          <w:sz w:val="32"/>
          <w:szCs w:val="32"/>
          <w:highlight w:val="none"/>
          <w:shd w:val="clear" w:fill="FFFFFF"/>
          <w:lang w:val="en-US" w:eastAsia="zh-CN"/>
        </w:rPr>
        <w:t>153</w:t>
      </w:r>
      <w:r>
        <w:rPr>
          <w:rFonts w:hint="eastAsia" w:ascii="仿宋_GB2312" w:hAnsi="仿宋_GB2312" w:eastAsia="仿宋_GB2312" w:cs="仿宋_GB2312"/>
          <w:i w:val="0"/>
          <w:caps w:val="0"/>
          <w:color w:val="000000"/>
          <w:spacing w:val="0"/>
          <w:sz w:val="32"/>
          <w:szCs w:val="32"/>
          <w:highlight w:val="none"/>
          <w:shd w:val="clear" w:fill="FFFFFF"/>
        </w:rPr>
        <w:t>条。</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楷体_GB2312" w:hAnsi="楷体_GB2312" w:eastAsia="楷体_GB2312" w:cs="楷体_GB2312"/>
          <w:b/>
          <w:bCs w:val="0"/>
          <w:i w:val="0"/>
          <w:caps w:val="0"/>
          <w:color w:val="000000"/>
          <w:spacing w:val="0"/>
          <w:sz w:val="32"/>
          <w:szCs w:val="32"/>
          <w:highlight w:val="none"/>
          <w:shd w:val="clear" w:fill="FFFFFF"/>
          <w:lang w:eastAsia="zh-CN"/>
        </w:rPr>
        <w:t>（二）依申请公开情况。</w:t>
      </w:r>
      <w:r>
        <w:rPr>
          <w:rFonts w:hint="eastAsia" w:ascii="仿宋_GB2312" w:hAnsi="仿宋_GB2312" w:eastAsia="仿宋_GB2312" w:cs="仿宋_GB2312"/>
          <w:i w:val="0"/>
          <w:caps w:val="0"/>
          <w:color w:val="000000"/>
          <w:spacing w:val="0"/>
          <w:sz w:val="32"/>
          <w:szCs w:val="32"/>
          <w:highlight w:val="none"/>
          <w:shd w:val="clear" w:fill="FFFFFF"/>
        </w:rPr>
        <w:t>20</w:t>
      </w:r>
      <w:r>
        <w:rPr>
          <w:rFonts w:hint="eastAsia" w:ascii="仿宋_GB2312" w:hAnsi="仿宋_GB2312" w:eastAsia="仿宋_GB2312" w:cs="仿宋_GB2312"/>
          <w:i w:val="0"/>
          <w:caps w:val="0"/>
          <w:color w:val="000000"/>
          <w:spacing w:val="0"/>
          <w:sz w:val="32"/>
          <w:szCs w:val="32"/>
          <w:highlight w:val="none"/>
          <w:shd w:val="clear" w:fill="FFFFFF"/>
          <w:lang w:val="en-US" w:eastAsia="zh-CN"/>
        </w:rPr>
        <w:t>20</w:t>
      </w:r>
      <w:r>
        <w:rPr>
          <w:rFonts w:hint="eastAsia" w:ascii="仿宋_GB2312" w:hAnsi="仿宋_GB2312" w:eastAsia="仿宋_GB2312" w:cs="仿宋_GB2312"/>
          <w:i w:val="0"/>
          <w:caps w:val="0"/>
          <w:color w:val="000000"/>
          <w:spacing w:val="0"/>
          <w:sz w:val="32"/>
          <w:szCs w:val="32"/>
          <w:highlight w:val="none"/>
          <w:shd w:val="clear" w:fill="FFFFFF"/>
        </w:rPr>
        <w:t>年，我</w:t>
      </w:r>
      <w:r>
        <w:rPr>
          <w:rFonts w:hint="eastAsia" w:ascii="仿宋_GB2312" w:hAnsi="仿宋_GB2312" w:eastAsia="仿宋_GB2312" w:cs="仿宋_GB2312"/>
          <w:i w:val="0"/>
          <w:caps w:val="0"/>
          <w:color w:val="000000"/>
          <w:spacing w:val="0"/>
          <w:sz w:val="32"/>
          <w:szCs w:val="32"/>
          <w:highlight w:val="none"/>
          <w:shd w:val="clear" w:fill="FFFFFF"/>
          <w:lang w:eastAsia="zh-CN"/>
        </w:rPr>
        <w:t>中心</w:t>
      </w:r>
      <w:r>
        <w:rPr>
          <w:rFonts w:hint="eastAsia" w:ascii="仿宋_GB2312" w:hAnsi="仿宋_GB2312" w:eastAsia="仿宋_GB2312" w:cs="仿宋_GB2312"/>
          <w:i w:val="0"/>
          <w:caps w:val="0"/>
          <w:color w:val="000000"/>
          <w:spacing w:val="0"/>
          <w:sz w:val="32"/>
          <w:szCs w:val="32"/>
          <w:highlight w:val="none"/>
          <w:shd w:val="clear" w:fill="FFFFFF"/>
        </w:rPr>
        <w:t>受理政府信息公开申请0件。</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color w:val="000000"/>
          <w:kern w:val="0"/>
          <w:sz w:val="32"/>
          <w:szCs w:val="32"/>
          <w:highlight w:val="none"/>
        </w:rPr>
      </w:pPr>
      <w:r>
        <w:rPr>
          <w:rFonts w:hint="eastAsia" w:ascii="楷体_GB2312" w:hAnsi="楷体_GB2312" w:eastAsia="楷体_GB2312" w:cs="楷体_GB2312"/>
          <w:b/>
          <w:bCs w:val="0"/>
          <w:i w:val="0"/>
          <w:caps w:val="0"/>
          <w:color w:val="000000"/>
          <w:spacing w:val="0"/>
          <w:sz w:val="32"/>
          <w:szCs w:val="32"/>
          <w:highlight w:val="none"/>
          <w:shd w:val="clear" w:fill="FFFFFF"/>
          <w:lang w:eastAsia="zh-CN"/>
        </w:rPr>
        <w:t>（三）政府信息管理。</w:t>
      </w:r>
      <w:r>
        <w:rPr>
          <w:rFonts w:hint="eastAsia" w:ascii="仿宋_GB2312" w:hAnsi="仿宋_GB2312" w:eastAsia="仿宋_GB2312" w:cs="仿宋_GB2312"/>
          <w:i w:val="0"/>
          <w:caps w:val="0"/>
          <w:color w:val="000000"/>
          <w:spacing w:val="0"/>
          <w:sz w:val="32"/>
          <w:szCs w:val="32"/>
          <w:highlight w:val="none"/>
          <w:shd w:val="clear" w:fill="FFFFFF"/>
        </w:rPr>
        <w:t>为切实加强对政务公开工作的领导，确保各项工作任务完成，县</w:t>
      </w:r>
      <w:r>
        <w:rPr>
          <w:rFonts w:hint="eastAsia" w:ascii="仿宋_GB2312" w:hAnsi="仿宋_GB2312" w:eastAsia="仿宋_GB2312" w:cs="仿宋_GB2312"/>
          <w:i w:val="0"/>
          <w:caps w:val="0"/>
          <w:color w:val="000000"/>
          <w:spacing w:val="0"/>
          <w:sz w:val="32"/>
          <w:szCs w:val="32"/>
          <w:highlight w:val="none"/>
          <w:shd w:val="clear" w:fill="FFFFFF"/>
          <w:lang w:eastAsia="zh-CN"/>
        </w:rPr>
        <w:t>融媒体中心</w:t>
      </w:r>
      <w:r>
        <w:rPr>
          <w:rFonts w:hint="eastAsia" w:ascii="仿宋_GB2312" w:hAnsi="仿宋_GB2312" w:eastAsia="仿宋_GB2312" w:cs="仿宋_GB2312"/>
          <w:i w:val="0"/>
          <w:caps w:val="0"/>
          <w:color w:val="000000"/>
          <w:spacing w:val="0"/>
          <w:sz w:val="32"/>
          <w:szCs w:val="32"/>
          <w:highlight w:val="none"/>
          <w:shd w:val="clear" w:fill="FFFFFF"/>
        </w:rPr>
        <w:t>成立了金寨县</w:t>
      </w:r>
      <w:r>
        <w:rPr>
          <w:rFonts w:hint="eastAsia" w:ascii="仿宋_GB2312" w:hAnsi="仿宋_GB2312" w:eastAsia="仿宋_GB2312" w:cs="仿宋_GB2312"/>
          <w:i w:val="0"/>
          <w:caps w:val="0"/>
          <w:color w:val="000000"/>
          <w:spacing w:val="0"/>
          <w:sz w:val="32"/>
          <w:szCs w:val="32"/>
          <w:highlight w:val="none"/>
          <w:shd w:val="clear" w:fill="FFFFFF"/>
          <w:lang w:eastAsia="zh-CN"/>
        </w:rPr>
        <w:t>融媒体中心</w:t>
      </w:r>
      <w:r>
        <w:rPr>
          <w:rFonts w:hint="eastAsia" w:ascii="仿宋_GB2312" w:hAnsi="仿宋_GB2312" w:eastAsia="仿宋_GB2312" w:cs="仿宋_GB2312"/>
          <w:i w:val="0"/>
          <w:caps w:val="0"/>
          <w:color w:val="000000"/>
          <w:spacing w:val="0"/>
          <w:sz w:val="32"/>
          <w:szCs w:val="32"/>
          <w:highlight w:val="none"/>
          <w:shd w:val="clear" w:fill="FFFFFF"/>
        </w:rPr>
        <w:t>政务公开工作领导小组，</w:t>
      </w:r>
      <w:r>
        <w:rPr>
          <w:rFonts w:hint="eastAsia" w:ascii="仿宋_GB2312" w:hAnsi="仿宋_GB2312" w:eastAsia="仿宋_GB2312" w:cs="仿宋_GB2312"/>
          <w:i w:val="0"/>
          <w:caps w:val="0"/>
          <w:color w:val="000000"/>
          <w:spacing w:val="0"/>
          <w:sz w:val="32"/>
          <w:szCs w:val="32"/>
          <w:highlight w:val="none"/>
          <w:shd w:val="clear" w:fill="FFFFFF"/>
          <w:lang w:eastAsia="zh-CN"/>
        </w:rPr>
        <w:t>汪波</w:t>
      </w:r>
      <w:r>
        <w:rPr>
          <w:rFonts w:hint="eastAsia" w:ascii="仿宋_GB2312" w:hAnsi="仿宋_GB2312" w:eastAsia="仿宋_GB2312" w:cs="仿宋_GB2312"/>
          <w:i w:val="0"/>
          <w:caps w:val="0"/>
          <w:color w:val="000000"/>
          <w:spacing w:val="0"/>
          <w:sz w:val="32"/>
          <w:szCs w:val="32"/>
          <w:highlight w:val="none"/>
          <w:shd w:val="clear" w:fill="FFFFFF"/>
        </w:rPr>
        <w:t>主任担任组长亲自过问，根据人事调整及时调整分管领导。由</w:t>
      </w:r>
      <w:r>
        <w:rPr>
          <w:rFonts w:hint="eastAsia" w:ascii="仿宋_GB2312" w:hAnsi="仿宋_GB2312" w:eastAsia="仿宋_GB2312" w:cs="仿宋_GB2312"/>
          <w:i w:val="0"/>
          <w:caps w:val="0"/>
          <w:color w:val="000000"/>
          <w:spacing w:val="0"/>
          <w:sz w:val="32"/>
          <w:szCs w:val="32"/>
          <w:highlight w:val="none"/>
          <w:shd w:val="clear" w:fill="FFFFFF"/>
          <w:lang w:eastAsia="zh-CN"/>
        </w:rPr>
        <w:t>总工程师付德军</w:t>
      </w:r>
      <w:r>
        <w:rPr>
          <w:rFonts w:hint="eastAsia" w:ascii="仿宋_GB2312" w:hAnsi="仿宋_GB2312" w:eastAsia="仿宋_GB2312" w:cs="仿宋_GB2312"/>
          <w:i w:val="0"/>
          <w:caps w:val="0"/>
          <w:color w:val="000000"/>
          <w:spacing w:val="0"/>
          <w:sz w:val="32"/>
          <w:szCs w:val="32"/>
          <w:highlight w:val="none"/>
          <w:shd w:val="clear" w:fill="FFFFFF"/>
        </w:rPr>
        <w:t>分管并具体抓政务公开工作。同时协调相关科室提供公开资料，明确办公室一名人员专门负责日常公开工作。“以公开为原则，不公开为例外”，要求凡是属性为主动公开的公文，必须全部公开</w:t>
      </w:r>
      <w:r>
        <w:rPr>
          <w:rFonts w:hint="eastAsia" w:ascii="仿宋_GB2312" w:hAnsi="仿宋_GB2312" w:eastAsia="仿宋_GB2312" w:cs="仿宋_GB2312"/>
          <w:i w:val="0"/>
          <w:caps w:val="0"/>
          <w:color w:val="000000"/>
          <w:spacing w:val="0"/>
          <w:sz w:val="32"/>
          <w:szCs w:val="32"/>
          <w:highlight w:val="none"/>
          <w:shd w:val="clear" w:fill="FFFFFF"/>
          <w:lang w:eastAsia="zh-CN"/>
        </w:rPr>
        <w:t>，</w:t>
      </w:r>
      <w:r>
        <w:rPr>
          <w:rFonts w:hint="eastAsia" w:ascii="仿宋_GB2312" w:hAnsi="仿宋_GB2312" w:eastAsia="仿宋_GB2312" w:cs="仿宋_GB2312"/>
          <w:i w:val="0"/>
          <w:caps w:val="0"/>
          <w:color w:val="000000"/>
          <w:spacing w:val="0"/>
          <w:sz w:val="32"/>
          <w:szCs w:val="32"/>
          <w:highlight w:val="none"/>
          <w:shd w:val="clear" w:fill="FFFFFF"/>
        </w:rPr>
        <w:t>凡是符合申请公开的公文，符合申请全部公开。</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val="0"/>
          <w:i w:val="0"/>
          <w:caps w:val="0"/>
          <w:color w:val="000000"/>
          <w:spacing w:val="0"/>
          <w:sz w:val="32"/>
          <w:szCs w:val="32"/>
          <w:highlight w:val="none"/>
          <w:shd w:val="clear" w:fill="FFFFFF"/>
          <w:lang w:eastAsia="zh-CN"/>
        </w:rPr>
        <w:t>（四）平台建设情况。</w:t>
      </w:r>
      <w:r>
        <w:rPr>
          <w:rFonts w:hint="eastAsia" w:ascii="仿宋_GB2312" w:hAnsi="仿宋_GB2312" w:eastAsia="仿宋_GB2312" w:cs="仿宋_GB2312"/>
          <w:i w:val="0"/>
          <w:caps w:val="0"/>
          <w:color w:val="000000"/>
          <w:spacing w:val="0"/>
          <w:sz w:val="32"/>
          <w:szCs w:val="32"/>
          <w:highlight w:val="none"/>
          <w:shd w:val="clear" w:fill="FFFFFF"/>
        </w:rPr>
        <w:t>一是定期安排网站平台的维护、更新，配合做好上级安全评估和审查。二是及时调整政务公开目录。</w:t>
      </w:r>
      <w:r>
        <w:rPr>
          <w:rFonts w:hint="eastAsia" w:ascii="仿宋_GB2312" w:hAnsi="仿宋_GB2312" w:eastAsia="仿宋_GB2312" w:cs="仿宋_GB2312"/>
          <w:i w:val="0"/>
          <w:caps w:val="0"/>
          <w:color w:val="000000"/>
          <w:spacing w:val="0"/>
          <w:sz w:val="32"/>
          <w:szCs w:val="32"/>
          <w:highlight w:val="none"/>
          <w:shd w:val="clear" w:fill="FFFFFF"/>
          <w:lang w:eastAsia="zh-CN"/>
        </w:rPr>
        <w:t>按照县政府公开办</w:t>
      </w:r>
      <w:r>
        <w:rPr>
          <w:rFonts w:hint="eastAsia" w:ascii="仿宋_GB2312" w:hAnsi="仿宋_GB2312" w:eastAsia="仿宋_GB2312" w:cs="仿宋_GB2312"/>
          <w:i w:val="0"/>
          <w:caps w:val="0"/>
          <w:color w:val="000000"/>
          <w:spacing w:val="0"/>
          <w:sz w:val="32"/>
          <w:szCs w:val="32"/>
          <w:highlight w:val="none"/>
          <w:shd w:val="clear" w:fill="FFFFFF"/>
        </w:rPr>
        <w:t>要求，我</w:t>
      </w:r>
      <w:r>
        <w:rPr>
          <w:rFonts w:hint="eastAsia" w:ascii="仿宋_GB2312" w:hAnsi="仿宋_GB2312" w:eastAsia="仿宋_GB2312" w:cs="仿宋_GB2312"/>
          <w:i w:val="0"/>
          <w:caps w:val="0"/>
          <w:color w:val="000000"/>
          <w:spacing w:val="0"/>
          <w:sz w:val="32"/>
          <w:szCs w:val="32"/>
          <w:highlight w:val="none"/>
          <w:shd w:val="clear" w:fill="FFFFFF"/>
          <w:lang w:eastAsia="zh-CN"/>
        </w:rPr>
        <w:t>中心</w:t>
      </w:r>
      <w:r>
        <w:rPr>
          <w:rFonts w:hint="eastAsia" w:ascii="仿宋_GB2312" w:hAnsi="仿宋_GB2312" w:eastAsia="仿宋_GB2312" w:cs="仿宋_GB2312"/>
          <w:i w:val="0"/>
          <w:caps w:val="0"/>
          <w:color w:val="000000"/>
          <w:spacing w:val="0"/>
          <w:sz w:val="32"/>
          <w:szCs w:val="32"/>
          <w:highlight w:val="none"/>
          <w:shd w:val="clear" w:fill="FFFFFF"/>
        </w:rPr>
        <w:t>在原有《政府信息主动公开基本目录》基础上，对照政府信息主动公开基本目录规范，认真编制调整、规范完善主动公开基本目录。</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00" w:lineRule="exact"/>
        <w:ind w:firstLine="643" w:firstLineChars="200"/>
        <w:jc w:val="left"/>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val="0"/>
          <w:color w:val="000000"/>
          <w:kern w:val="0"/>
          <w:sz w:val="32"/>
          <w:szCs w:val="32"/>
          <w:highlight w:val="none"/>
          <w:lang w:eastAsia="zh-CN"/>
        </w:rPr>
        <w:t>（五）政府信息公开监督保障。</w:t>
      </w:r>
      <w:r>
        <w:rPr>
          <w:rFonts w:hint="eastAsia" w:ascii="仿宋_GB2312" w:hAnsi="仿宋_GB2312" w:eastAsia="仿宋_GB2312" w:cs="仿宋_GB2312"/>
          <w:sz w:val="32"/>
          <w:szCs w:val="32"/>
          <w:highlight w:val="none"/>
        </w:rPr>
        <w:t>我中心制定了年度工作计划，定期召开专题会议进行研究部署，明确工作目标，坚持把政府信息公开工作与其他中心工作同部署、同落实。严把公开内容关，既防止该公开的不公开，搞半公开、假公开，又防止不该公开的乱公开。采取多种形式，强化监督检查工作，实行定期检查与不定期检查相结合。同时，鼓励广大干部、群众积极参与监督，积极反映公开过程中存在的突出问题，使公开工作更加扎实、有序开展。</w:t>
      </w:r>
    </w:p>
    <w:p>
      <w:pPr>
        <w:spacing w:line="520" w:lineRule="exact"/>
        <w:ind w:firstLine="595" w:firstLineChars="196"/>
        <w:rPr>
          <w:rFonts w:hint="eastAsia" w:ascii="黑体" w:hAnsi="黑体" w:eastAsia="黑体"/>
          <w:color w:val="333333"/>
          <w:w w:val="95"/>
          <w:sz w:val="32"/>
          <w:szCs w:val="32"/>
        </w:rPr>
      </w:pPr>
    </w:p>
    <w:p>
      <w:pPr>
        <w:spacing w:line="520" w:lineRule="exact"/>
        <w:ind w:firstLine="595" w:firstLineChars="196"/>
        <w:rPr>
          <w:rFonts w:hint="eastAsia" w:ascii="黑体" w:hAnsi="黑体" w:eastAsia="黑体"/>
          <w:color w:val="333333"/>
          <w:w w:val="95"/>
          <w:sz w:val="32"/>
          <w:szCs w:val="32"/>
        </w:rPr>
      </w:pPr>
      <w:r>
        <w:rPr>
          <w:rFonts w:hint="eastAsia" w:ascii="黑体" w:hAnsi="黑体" w:eastAsia="黑体"/>
          <w:color w:val="333333"/>
          <w:w w:val="95"/>
          <w:sz w:val="32"/>
          <w:szCs w:val="32"/>
        </w:rPr>
        <w:t>二、主动公开政府信息情况</w:t>
      </w:r>
    </w:p>
    <w:tbl>
      <w:tblPr>
        <w:tblStyle w:val="7"/>
        <w:tblW w:w="0" w:type="auto"/>
        <w:jc w:val="center"/>
        <w:tblLayout w:type="fixed"/>
        <w:tblCellMar>
          <w:top w:w="0" w:type="dxa"/>
          <w:left w:w="0" w:type="dxa"/>
          <w:bottom w:w="0" w:type="dxa"/>
          <w:right w:w="0" w:type="dxa"/>
        </w:tblCellMar>
      </w:tblPr>
      <w:tblGrid>
        <w:gridCol w:w="3113"/>
        <w:gridCol w:w="1875"/>
        <w:gridCol w:w="6"/>
        <w:gridCol w:w="1265"/>
        <w:gridCol w:w="1881"/>
      </w:tblGrid>
      <w:tr>
        <w:tblPrEx>
          <w:tblCellMar>
            <w:top w:w="0" w:type="dxa"/>
            <w:left w:w="0" w:type="dxa"/>
            <w:bottom w:w="0" w:type="dxa"/>
            <w:right w:w="0" w:type="dxa"/>
          </w:tblCellMar>
        </w:tblPrEx>
        <w:trPr>
          <w:trHeight w:val="495" w:hRule="atLeast"/>
          <w:jc w:val="center"/>
        </w:trPr>
        <w:tc>
          <w:tcPr>
            <w:tcW w:w="8140" w:type="dxa"/>
            <w:gridSpan w:val="5"/>
            <w:tcBorders>
              <w:top w:val="single" w:color="auto" w:sz="8" w:space="0"/>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第二十条第（一）项</w:t>
            </w:r>
          </w:p>
        </w:tc>
      </w:tr>
      <w:tr>
        <w:tblPrEx>
          <w:tblCellMar>
            <w:top w:w="0" w:type="dxa"/>
            <w:left w:w="0" w:type="dxa"/>
            <w:bottom w:w="0" w:type="dxa"/>
            <w:right w:w="0" w:type="dxa"/>
          </w:tblCellMar>
        </w:tblPrEx>
        <w:trPr>
          <w:trHeight w:val="882"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本年新</w:t>
            </w:r>
            <w:r>
              <w:rPr>
                <w:rFonts w:ascii="Times New Roman" w:hAnsi="Times New Roman" w:eastAsia="仿宋_GB2312" w:cs="Times New Roman"/>
                <w:color w:val="000000"/>
                <w:kern w:val="0"/>
                <w:sz w:val="20"/>
                <w:szCs w:val="20"/>
              </w:rPr>
              <w:br w:type="textWrapping"/>
            </w:r>
            <w:r>
              <w:rPr>
                <w:rFonts w:ascii="Times New Roman" w:hAnsi="Times New Roman" w:eastAsia="仿宋_GB2312" w:cs="Times New Roman"/>
                <w:kern w:val="0"/>
                <w:sz w:val="20"/>
                <w:szCs w:val="20"/>
              </w:rPr>
              <w:t>制作数量</w:t>
            </w:r>
          </w:p>
        </w:tc>
        <w:tc>
          <w:tcPr>
            <w:tcW w:w="1271"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本年新</w:t>
            </w:r>
            <w:r>
              <w:rPr>
                <w:rFonts w:ascii="Times New Roman" w:hAnsi="Times New Roman" w:eastAsia="仿宋_GB2312" w:cs="Times New Roman"/>
                <w:color w:val="000000"/>
                <w:kern w:val="0"/>
                <w:sz w:val="20"/>
                <w:szCs w:val="20"/>
              </w:rPr>
              <w:br w:type="textWrapping"/>
            </w:r>
            <w:r>
              <w:rPr>
                <w:rFonts w:ascii="Times New Roman" w:hAnsi="Times New Roman" w:eastAsia="仿宋_GB2312" w:cs="Times New Roman"/>
                <w:kern w:val="0"/>
                <w:sz w:val="20"/>
                <w:szCs w:val="20"/>
              </w:rPr>
              <w:t>公开数量</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对外公开总数量</w:t>
            </w:r>
          </w:p>
        </w:tc>
      </w:tr>
      <w:tr>
        <w:tblPrEx>
          <w:tblCellMar>
            <w:top w:w="0" w:type="dxa"/>
            <w:left w:w="0" w:type="dxa"/>
            <w:bottom w:w="0" w:type="dxa"/>
            <w:right w:w="0" w:type="dxa"/>
          </w:tblCellMar>
        </w:tblPrEx>
        <w:trPr>
          <w:trHeight w:val="523"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规章</w:t>
            </w:r>
          </w:p>
        </w:tc>
        <w:tc>
          <w:tcPr>
            <w:tcW w:w="187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lang w:val="en-US" w:eastAsia="zh-CN"/>
              </w:rPr>
            </w:pPr>
            <w:r>
              <w:rPr>
                <w:rFonts w:hint="eastAsia" w:ascii="Times New Roman" w:hAnsi="Times New Roman" w:eastAsia="仿宋_GB2312" w:cs="Times New Roman"/>
                <w:color w:val="000000"/>
                <w:kern w:val="0"/>
                <w:sz w:val="20"/>
                <w:szCs w:val="20"/>
                <w:lang w:val="en-US" w:eastAsia="zh-CN"/>
              </w:rPr>
              <w:t>0</w:t>
            </w:r>
          </w:p>
        </w:tc>
        <w:tc>
          <w:tcPr>
            <w:tcW w:w="127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ascii="Times New Roman" w:hAnsi="Times New Roman" w:eastAsia="仿宋_GB2312" w:cs="Times New Roman"/>
                <w:kern w:val="0"/>
                <w:sz w:val="24"/>
                <w:szCs w:val="32"/>
              </w:rPr>
            </w:pPr>
            <w:r>
              <w:rPr>
                <w:rFonts w:hint="eastAsia" w:ascii="Times New Roman" w:hAnsi="Times New Roman" w:eastAsia="仿宋_GB2312" w:cs="Times New Roman"/>
                <w:color w:val="000000"/>
                <w:kern w:val="0"/>
                <w:sz w:val="20"/>
                <w:szCs w:val="20"/>
                <w:lang w:val="en-US"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ascii="Times New Roman" w:hAnsi="Times New Roman" w:eastAsia="仿宋_GB2312" w:cs="Times New Roman"/>
                <w:kern w:val="0"/>
                <w:sz w:val="24"/>
                <w:szCs w:val="32"/>
              </w:rPr>
            </w:pPr>
            <w:r>
              <w:rPr>
                <w:rFonts w:hint="eastAsia" w:ascii="Times New Roman" w:hAnsi="Times New Roman" w:eastAsia="仿宋_GB2312" w:cs="Times New Roman"/>
                <w:color w:val="000000"/>
                <w:kern w:val="0"/>
                <w:sz w:val="20"/>
                <w:szCs w:val="20"/>
                <w:lang w:val="en-US" w:eastAsia="zh-CN"/>
              </w:rPr>
              <w:t>0</w:t>
            </w:r>
          </w:p>
        </w:tc>
      </w:tr>
      <w:tr>
        <w:tblPrEx>
          <w:tblCellMar>
            <w:top w:w="0" w:type="dxa"/>
            <w:left w:w="0" w:type="dxa"/>
            <w:bottom w:w="0" w:type="dxa"/>
            <w:right w:w="0" w:type="dxa"/>
          </w:tblCellMar>
        </w:tblPrEx>
        <w:trPr>
          <w:trHeight w:val="471"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规范性文件</w:t>
            </w:r>
          </w:p>
        </w:tc>
        <w:tc>
          <w:tcPr>
            <w:tcW w:w="187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ascii="Times New Roman" w:hAnsi="Times New Roman" w:eastAsia="仿宋_GB2312" w:cs="Times New Roman"/>
                <w:kern w:val="0"/>
                <w:sz w:val="24"/>
                <w:szCs w:val="32"/>
              </w:rPr>
            </w:pPr>
            <w:r>
              <w:rPr>
                <w:rFonts w:hint="eastAsia" w:ascii="Times New Roman" w:hAnsi="Times New Roman" w:eastAsia="仿宋_GB2312" w:cs="Times New Roman"/>
                <w:color w:val="000000"/>
                <w:kern w:val="0"/>
                <w:sz w:val="20"/>
                <w:szCs w:val="20"/>
                <w:lang w:val="en-US" w:eastAsia="zh-CN"/>
              </w:rPr>
              <w:t>0</w:t>
            </w:r>
          </w:p>
        </w:tc>
        <w:tc>
          <w:tcPr>
            <w:tcW w:w="127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lang w:val="en-US" w:eastAsia="zh-CN"/>
              </w:rPr>
            </w:pPr>
            <w:r>
              <w:rPr>
                <w:rFonts w:hint="eastAsia" w:ascii="Times New Roman" w:hAnsi="Times New Roman" w:eastAsia="仿宋_GB2312" w:cs="Times New Roman"/>
                <w:color w:val="000000"/>
                <w:kern w:val="0"/>
                <w:sz w:val="20"/>
                <w:szCs w:val="20"/>
                <w:lang w:val="en-US"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lang w:val="en-US" w:eastAsia="zh-CN"/>
              </w:rPr>
            </w:pPr>
            <w:r>
              <w:rPr>
                <w:rFonts w:hint="eastAsia" w:ascii="Times New Roman" w:hAnsi="Times New Roman" w:eastAsia="仿宋_GB2312" w:cs="Times New Roman"/>
                <w:color w:val="000000"/>
                <w:kern w:val="0"/>
                <w:sz w:val="20"/>
                <w:szCs w:val="20"/>
                <w:lang w:val="en-US" w:eastAsia="zh-CN"/>
              </w:rPr>
              <w:t>0</w:t>
            </w:r>
          </w:p>
        </w:tc>
      </w:tr>
      <w:tr>
        <w:tblPrEx>
          <w:tblCellMar>
            <w:top w:w="0" w:type="dxa"/>
            <w:left w:w="0" w:type="dxa"/>
            <w:bottom w:w="0" w:type="dxa"/>
            <w:right w:w="0" w:type="dxa"/>
          </w:tblCellMar>
        </w:tblPrEx>
        <w:trPr>
          <w:trHeight w:val="480"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第二十条第（五）项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本年增/减</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处理决定数量</w:t>
            </w:r>
          </w:p>
        </w:tc>
      </w:tr>
      <w:tr>
        <w:tblPrEx>
          <w:tblCellMar>
            <w:top w:w="0" w:type="dxa"/>
            <w:left w:w="0" w:type="dxa"/>
            <w:bottom w:w="0" w:type="dxa"/>
            <w:right w:w="0" w:type="dxa"/>
          </w:tblCellMar>
        </w:tblPrEx>
        <w:trPr>
          <w:trHeight w:val="528"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行政许可</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26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trHeight w:val="550"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其他对外管理服务事项</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26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trHeight w:val="40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第二十条第（六）项</w:t>
            </w:r>
          </w:p>
        </w:tc>
      </w:tr>
      <w:tr>
        <w:tblPrEx>
          <w:tblCellMar>
            <w:top w:w="0" w:type="dxa"/>
            <w:left w:w="0" w:type="dxa"/>
            <w:bottom w:w="0" w:type="dxa"/>
            <w:right w:w="0" w:type="dxa"/>
          </w:tblCellMar>
        </w:tblPrEx>
        <w:trPr>
          <w:trHeight w:val="634"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信息内容</w:t>
            </w:r>
          </w:p>
        </w:tc>
        <w:tc>
          <w:tcPr>
            <w:tcW w:w="187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上一年项目数量</w:t>
            </w:r>
          </w:p>
        </w:tc>
        <w:tc>
          <w:tcPr>
            <w:tcW w:w="1271"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本年增/减</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处理决定数量</w:t>
            </w:r>
          </w:p>
        </w:tc>
      </w:tr>
      <w:tr>
        <w:tblPrEx>
          <w:tblCellMar>
            <w:top w:w="0" w:type="dxa"/>
            <w:left w:w="0" w:type="dxa"/>
            <w:bottom w:w="0" w:type="dxa"/>
            <w:right w:w="0" w:type="dxa"/>
          </w:tblCellMar>
        </w:tblPrEx>
        <w:trPr>
          <w:trHeight w:val="430"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行政处罚</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26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trHeight w:val="409"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行政强制</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26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18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trHeight w:val="474"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第二十条第（八）项</w:t>
            </w:r>
          </w:p>
        </w:tc>
      </w:tr>
      <w:tr>
        <w:tblPrEx>
          <w:tblCellMar>
            <w:top w:w="0" w:type="dxa"/>
            <w:left w:w="0" w:type="dxa"/>
            <w:bottom w:w="0" w:type="dxa"/>
            <w:right w:w="0" w:type="dxa"/>
          </w:tblCellMar>
        </w:tblPrEx>
        <w:trPr>
          <w:trHeight w:val="270"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信息内容</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上一年项目数量</w:t>
            </w:r>
          </w:p>
        </w:tc>
        <w:tc>
          <w:tcPr>
            <w:tcW w:w="3146" w:type="dxa"/>
            <w:gridSpan w:val="2"/>
            <w:tcBorders>
              <w:top w:val="single" w:color="auto" w:sz="8" w:space="0"/>
              <w:left w:val="nil"/>
              <w:bottom w:val="single" w:color="auto" w:sz="8" w:space="0"/>
              <w:right w:val="single" w:color="000000"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本年增/减</w:t>
            </w:r>
          </w:p>
        </w:tc>
      </w:tr>
      <w:tr>
        <w:tblPrEx>
          <w:tblCellMar>
            <w:top w:w="0" w:type="dxa"/>
            <w:left w:w="0" w:type="dxa"/>
            <w:bottom w:w="0" w:type="dxa"/>
            <w:right w:w="0" w:type="dxa"/>
          </w:tblCellMar>
        </w:tblPrEx>
        <w:trPr>
          <w:trHeight w:val="551"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highlight w:val="none"/>
              </w:rPr>
            </w:pPr>
            <w:r>
              <w:rPr>
                <w:rFonts w:ascii="Times New Roman" w:hAnsi="Times New Roman" w:eastAsia="仿宋_GB2312" w:cs="Times New Roman"/>
                <w:color w:val="000000"/>
                <w:kern w:val="0"/>
                <w:sz w:val="20"/>
                <w:szCs w:val="20"/>
                <w:highlight w:val="none"/>
              </w:rPr>
              <w:t>行政事业性收费</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0</w:t>
            </w:r>
          </w:p>
        </w:tc>
        <w:tc>
          <w:tcPr>
            <w:tcW w:w="3146" w:type="dxa"/>
            <w:gridSpan w:val="2"/>
            <w:tcBorders>
              <w:top w:val="nil"/>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highlight w:val="none"/>
                <w:lang w:val="en-US" w:eastAsia="zh-CN"/>
              </w:rPr>
            </w:pPr>
            <w:r>
              <w:rPr>
                <w:rFonts w:hint="eastAsia" w:ascii="Times New Roman" w:hAnsi="Times New Roman" w:eastAsia="仿宋_GB2312" w:cs="Times New Roman"/>
                <w:color w:val="000000"/>
                <w:kern w:val="0"/>
                <w:sz w:val="20"/>
                <w:szCs w:val="20"/>
                <w:highlight w:val="none"/>
                <w:lang w:val="en-US" w:eastAsia="zh-CN"/>
              </w:rPr>
              <w:t>0</w:t>
            </w:r>
          </w:p>
        </w:tc>
      </w:tr>
      <w:tr>
        <w:tblPrEx>
          <w:tblCellMar>
            <w:top w:w="0" w:type="dxa"/>
            <w:left w:w="0" w:type="dxa"/>
            <w:bottom w:w="0" w:type="dxa"/>
            <w:right w:w="0" w:type="dxa"/>
          </w:tblCellMar>
        </w:tblPrEx>
        <w:trPr>
          <w:trHeight w:val="476" w:hRule="atLeast"/>
          <w:jc w:val="center"/>
        </w:trPr>
        <w:tc>
          <w:tcPr>
            <w:tcW w:w="8140" w:type="dxa"/>
            <w:gridSpan w:val="5"/>
            <w:tcBorders>
              <w:top w:val="nil"/>
              <w:left w:val="single" w:color="auto" w:sz="8" w:space="0"/>
              <w:bottom w:val="single" w:color="auto" w:sz="8" w:space="0"/>
              <w:right w:val="single" w:color="auto" w:sz="8" w:space="0"/>
            </w:tcBorders>
            <w:shd w:val="clear" w:color="auto" w:fill="C6D9F1"/>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第二十条第（九）项</w:t>
            </w:r>
          </w:p>
        </w:tc>
      </w:tr>
      <w:tr>
        <w:tblPrEx>
          <w:tblCellMar>
            <w:top w:w="0" w:type="dxa"/>
            <w:left w:w="0" w:type="dxa"/>
            <w:bottom w:w="0" w:type="dxa"/>
            <w:right w:w="0" w:type="dxa"/>
          </w:tblCellMar>
        </w:tblPrEx>
        <w:trPr>
          <w:trHeight w:val="585"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highlight w:val="none"/>
              </w:rPr>
            </w:pPr>
            <w:r>
              <w:rPr>
                <w:rFonts w:ascii="Times New Roman" w:hAnsi="Times New Roman" w:eastAsia="仿宋_GB2312" w:cs="Times New Roman"/>
                <w:color w:val="000000"/>
                <w:kern w:val="0"/>
                <w:sz w:val="20"/>
                <w:szCs w:val="20"/>
                <w:highlight w:val="none"/>
              </w:rPr>
              <w:t>信息内容</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highlight w:val="none"/>
              </w:rPr>
            </w:pPr>
            <w:r>
              <w:rPr>
                <w:rFonts w:ascii="Times New Roman" w:hAnsi="Times New Roman" w:eastAsia="仿宋_GB2312" w:cs="Times New Roman"/>
                <w:color w:val="000000"/>
                <w:kern w:val="0"/>
                <w:sz w:val="20"/>
                <w:szCs w:val="20"/>
                <w:highlight w:val="none"/>
              </w:rPr>
              <w:t>采购项目数量</w:t>
            </w:r>
          </w:p>
        </w:tc>
        <w:tc>
          <w:tcPr>
            <w:tcW w:w="3146" w:type="dxa"/>
            <w:gridSpan w:val="2"/>
            <w:tcBorders>
              <w:top w:val="single" w:color="auto" w:sz="8" w:space="0"/>
              <w:left w:val="nil"/>
              <w:bottom w:val="single" w:color="auto" w:sz="8" w:space="0"/>
              <w:right w:val="single" w:color="000000"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highlight w:val="none"/>
              </w:rPr>
            </w:pPr>
            <w:r>
              <w:rPr>
                <w:rFonts w:ascii="Times New Roman" w:hAnsi="Times New Roman" w:eastAsia="仿宋_GB2312" w:cs="Times New Roman"/>
                <w:color w:val="000000"/>
                <w:kern w:val="0"/>
                <w:sz w:val="20"/>
                <w:szCs w:val="20"/>
                <w:highlight w:val="none"/>
              </w:rPr>
              <w:t>采购总金额</w:t>
            </w:r>
          </w:p>
        </w:tc>
      </w:tr>
      <w:tr>
        <w:tblPrEx>
          <w:tblCellMar>
            <w:top w:w="0" w:type="dxa"/>
            <w:left w:w="0" w:type="dxa"/>
            <w:bottom w:w="0" w:type="dxa"/>
            <w:right w:w="0" w:type="dxa"/>
          </w:tblCellMar>
        </w:tblPrEx>
        <w:trPr>
          <w:trHeight w:val="539" w:hRule="atLeast"/>
          <w:jc w:val="center"/>
        </w:trPr>
        <w:tc>
          <w:tcPr>
            <w:tcW w:w="311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highlight w:val="none"/>
              </w:rPr>
            </w:pPr>
            <w:r>
              <w:rPr>
                <w:rFonts w:ascii="Times New Roman" w:hAnsi="Times New Roman" w:eastAsia="仿宋_GB2312" w:cs="Times New Roman"/>
                <w:color w:val="000000"/>
                <w:kern w:val="0"/>
                <w:sz w:val="20"/>
                <w:szCs w:val="20"/>
                <w:highlight w:val="none"/>
              </w:rPr>
              <w:t>政府集中采购</w:t>
            </w:r>
          </w:p>
        </w:tc>
        <w:tc>
          <w:tcPr>
            <w:tcW w:w="1881"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center"/>
              <w:rPr>
                <w:rFonts w:hint="eastAsia" w:ascii="Times New Roman" w:hAnsi="Times New Roman" w:eastAsia="仿宋_GB2312" w:cs="Times New Roman"/>
                <w:kern w:val="0"/>
                <w:sz w:val="24"/>
                <w:szCs w:val="32"/>
                <w:highlight w:val="none"/>
                <w:lang w:val="en-US" w:eastAsia="zh-CN"/>
              </w:rPr>
            </w:pPr>
            <w:r>
              <w:rPr>
                <w:rFonts w:hint="eastAsia" w:ascii="Times New Roman" w:hAnsi="Times New Roman" w:eastAsia="仿宋_GB2312" w:cs="Times New Roman"/>
                <w:kern w:val="0"/>
                <w:sz w:val="24"/>
                <w:szCs w:val="32"/>
                <w:highlight w:val="none"/>
                <w:lang w:val="en-US" w:eastAsia="zh-CN"/>
              </w:rPr>
              <w:t>2</w:t>
            </w:r>
          </w:p>
        </w:tc>
        <w:tc>
          <w:tcPr>
            <w:tcW w:w="3146" w:type="dxa"/>
            <w:gridSpan w:val="2"/>
            <w:tcBorders>
              <w:top w:val="nil"/>
              <w:left w:val="nil"/>
              <w:bottom w:val="single" w:color="auto" w:sz="8" w:space="0"/>
              <w:right w:val="single" w:color="000000" w:sz="8" w:space="0"/>
            </w:tcBorders>
            <w:noWrap w:val="0"/>
            <w:tcMar>
              <w:top w:w="0" w:type="dxa"/>
              <w:left w:w="108" w:type="dxa"/>
              <w:bottom w:w="0" w:type="dxa"/>
              <w:right w:w="108" w:type="dxa"/>
            </w:tcMar>
            <w:vAlign w:val="center"/>
          </w:tcPr>
          <w:p>
            <w:pPr>
              <w:widowControl/>
              <w:jc w:val="center"/>
              <w:rPr>
                <w:rFonts w:hint="default" w:ascii="Times New Roman" w:hAnsi="Times New Roman" w:eastAsia="仿宋_GB2312" w:cs="Times New Roman"/>
                <w:kern w:val="0"/>
                <w:sz w:val="24"/>
                <w:szCs w:val="32"/>
                <w:highlight w:val="none"/>
                <w:lang w:val="en-US" w:eastAsia="zh-CN"/>
              </w:rPr>
            </w:pPr>
            <w:r>
              <w:rPr>
                <w:rFonts w:hint="eastAsia" w:ascii="Times New Roman" w:hAnsi="Times New Roman" w:eastAsia="仿宋_GB2312" w:cs="Times New Roman"/>
                <w:kern w:val="0"/>
                <w:sz w:val="24"/>
                <w:szCs w:val="32"/>
                <w:highlight w:val="none"/>
                <w:lang w:val="en-US" w:eastAsia="zh-CN"/>
              </w:rPr>
              <w:t>369.31</w:t>
            </w:r>
          </w:p>
        </w:tc>
      </w:tr>
    </w:tbl>
    <w:p>
      <w:pPr>
        <w:widowControl/>
        <w:shd w:val="clear" w:color="auto" w:fill="FFFFFF"/>
        <w:ind w:firstLine="480"/>
        <w:rPr>
          <w:rFonts w:ascii="Times New Roman" w:hAnsi="Times New Roman" w:eastAsia="仿宋_GB2312" w:cs="Times New Roman"/>
          <w:color w:val="333333"/>
          <w:kern w:val="0"/>
          <w:sz w:val="24"/>
          <w:szCs w:val="32"/>
        </w:rPr>
      </w:pPr>
    </w:p>
    <w:p>
      <w:pPr>
        <w:widowControl/>
        <w:shd w:val="clear" w:color="auto" w:fill="FFFFFF"/>
        <w:spacing w:after="240"/>
        <w:ind w:firstLine="480"/>
        <w:rPr>
          <w:rFonts w:hint="eastAsia" w:ascii="黑体" w:hAnsi="黑体" w:eastAsia="黑体" w:cs="黑体"/>
          <w:b/>
          <w:bCs/>
          <w:color w:val="333333"/>
          <w:kern w:val="0"/>
          <w:sz w:val="32"/>
          <w:szCs w:val="32"/>
        </w:rPr>
      </w:pPr>
    </w:p>
    <w:p>
      <w:pPr>
        <w:widowControl/>
        <w:shd w:val="clear" w:color="auto" w:fill="FFFFFF"/>
        <w:spacing w:after="240"/>
        <w:ind w:firstLine="480"/>
        <w:rPr>
          <w:rFonts w:hint="eastAsia" w:ascii="黑体" w:hAnsi="黑体" w:eastAsia="黑体" w:cs="黑体"/>
          <w:b/>
          <w:bCs/>
          <w:color w:val="333333"/>
          <w:kern w:val="0"/>
          <w:sz w:val="32"/>
          <w:szCs w:val="32"/>
        </w:rPr>
      </w:pPr>
    </w:p>
    <w:p>
      <w:pPr>
        <w:widowControl/>
        <w:shd w:val="clear" w:color="auto" w:fill="FFFFFF"/>
        <w:spacing w:after="240"/>
        <w:ind w:firstLine="480"/>
        <w:rPr>
          <w:rFonts w:hint="eastAsia" w:ascii="黑体" w:hAnsi="黑体" w:eastAsia="黑体" w:cs="黑体"/>
          <w:b/>
          <w:bCs/>
          <w:color w:val="333333"/>
          <w:kern w:val="0"/>
          <w:sz w:val="32"/>
          <w:szCs w:val="32"/>
        </w:rPr>
      </w:pPr>
    </w:p>
    <w:p>
      <w:pPr>
        <w:widowControl/>
        <w:shd w:val="clear" w:color="auto" w:fill="FFFFFF"/>
        <w:spacing w:after="240"/>
        <w:ind w:firstLine="480"/>
        <w:rPr>
          <w:rFonts w:hint="eastAsia" w:ascii="黑体" w:hAnsi="黑体" w:eastAsia="黑体" w:cs="黑体"/>
          <w:b/>
          <w:bCs/>
          <w:color w:val="333333"/>
          <w:kern w:val="0"/>
          <w:sz w:val="32"/>
          <w:szCs w:val="32"/>
        </w:rPr>
      </w:pPr>
      <w:bookmarkStart w:id="0" w:name="_GoBack"/>
      <w:bookmarkEnd w:id="0"/>
    </w:p>
    <w:p>
      <w:pPr>
        <w:widowControl/>
        <w:shd w:val="clear" w:color="auto" w:fill="FFFFFF"/>
        <w:spacing w:after="240"/>
        <w:ind w:firstLine="480"/>
        <w:rPr>
          <w:rFonts w:hint="eastAsia" w:ascii="黑体" w:hAnsi="黑体" w:eastAsia="黑体" w:cs="黑体"/>
          <w:b/>
          <w:bCs/>
          <w:color w:val="333333"/>
          <w:kern w:val="0"/>
          <w:sz w:val="32"/>
          <w:szCs w:val="32"/>
          <w:lang w:val="en-US" w:eastAsia="zh-CN"/>
        </w:rPr>
      </w:pPr>
      <w:r>
        <w:rPr>
          <w:rFonts w:hint="eastAsia" w:ascii="黑体" w:hAnsi="黑体" w:eastAsia="黑体" w:cs="黑体"/>
          <w:b/>
          <w:bCs/>
          <w:color w:val="333333"/>
          <w:kern w:val="0"/>
          <w:sz w:val="32"/>
          <w:szCs w:val="32"/>
          <w:lang w:val="en-US" w:eastAsia="zh-CN"/>
        </w:rPr>
        <w:t xml:space="preserve"> </w:t>
      </w:r>
    </w:p>
    <w:p>
      <w:pPr>
        <w:widowControl/>
        <w:shd w:val="clear" w:color="auto" w:fill="FFFFFF"/>
        <w:spacing w:after="240"/>
        <w:ind w:firstLine="480"/>
        <w:rPr>
          <w:rFonts w:hint="eastAsia" w:ascii="黑体" w:hAnsi="黑体" w:eastAsia="黑体" w:cs="黑体"/>
          <w:b w:val="0"/>
          <w:bCs w:val="0"/>
          <w:color w:val="auto"/>
          <w:kern w:val="0"/>
          <w:sz w:val="32"/>
          <w:szCs w:val="32"/>
          <w:highlight w:val="none"/>
          <w:lang w:eastAsia="zh-CN"/>
        </w:rPr>
      </w:pPr>
      <w:r>
        <w:rPr>
          <w:rFonts w:hint="eastAsia" w:ascii="黑体" w:hAnsi="黑体" w:eastAsia="黑体" w:cs="黑体"/>
          <w:b w:val="0"/>
          <w:bCs w:val="0"/>
          <w:color w:val="auto"/>
          <w:kern w:val="0"/>
          <w:sz w:val="32"/>
          <w:szCs w:val="32"/>
          <w:highlight w:val="none"/>
        </w:rPr>
        <w:t>三、收到和处理政府信息公开申请情况</w:t>
      </w:r>
    </w:p>
    <w:tbl>
      <w:tblPr>
        <w:tblStyle w:val="7"/>
        <w:tblW w:w="9071" w:type="dxa"/>
        <w:jc w:val="center"/>
        <w:tblLayout w:type="fixed"/>
        <w:tblCellMar>
          <w:top w:w="0" w:type="dxa"/>
          <w:left w:w="0" w:type="dxa"/>
          <w:bottom w:w="0" w:type="dxa"/>
          <w:right w:w="0" w:type="dxa"/>
        </w:tblCellMar>
      </w:tblPr>
      <w:tblGrid>
        <w:gridCol w:w="617"/>
        <w:gridCol w:w="854"/>
        <w:gridCol w:w="2300"/>
        <w:gridCol w:w="599"/>
        <w:gridCol w:w="755"/>
        <w:gridCol w:w="755"/>
        <w:gridCol w:w="813"/>
        <w:gridCol w:w="973"/>
        <w:gridCol w:w="711"/>
        <w:gridCol w:w="694"/>
      </w:tblGrid>
      <w:tr>
        <w:tblPrEx>
          <w:tblCellMar>
            <w:top w:w="0" w:type="dxa"/>
            <w:left w:w="0" w:type="dxa"/>
            <w:bottom w:w="0" w:type="dxa"/>
            <w:right w:w="0" w:type="dxa"/>
          </w:tblCellMar>
        </w:tblPrEx>
        <w:trPr>
          <w:jc w:val="center"/>
        </w:trPr>
        <w:tc>
          <w:tcPr>
            <w:tcW w:w="3771" w:type="dxa"/>
            <w:gridSpan w:val="3"/>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（本列数据的勾稽关系为：第一项加第二项之和，等于第三项加第四项之和）</w:t>
            </w:r>
          </w:p>
        </w:tc>
        <w:tc>
          <w:tcPr>
            <w:tcW w:w="5300" w:type="dxa"/>
            <w:gridSpan w:val="7"/>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申请人情况</w:t>
            </w:r>
          </w:p>
        </w:tc>
      </w:tr>
      <w:tr>
        <w:tblPrEx>
          <w:tblCellMar>
            <w:top w:w="0" w:type="dxa"/>
            <w:left w:w="0" w:type="dxa"/>
            <w:bottom w:w="0" w:type="dxa"/>
            <w:right w:w="0" w:type="dxa"/>
          </w:tblCellMar>
        </w:tblPrEx>
        <w:trPr>
          <w:jc w:val="center"/>
        </w:trPr>
        <w:tc>
          <w:tcPr>
            <w:tcW w:w="3771" w:type="dxa"/>
            <w:gridSpan w:val="3"/>
            <w:vMerge w:val="continue"/>
            <w:tcBorders>
              <w:top w:val="single" w:color="auto" w:sz="8" w:space="0"/>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599"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自然人</w:t>
            </w:r>
          </w:p>
        </w:tc>
        <w:tc>
          <w:tcPr>
            <w:tcW w:w="4007" w:type="dxa"/>
            <w:gridSpan w:val="5"/>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法人或其他组织</w:t>
            </w:r>
          </w:p>
        </w:tc>
        <w:tc>
          <w:tcPr>
            <w:tcW w:w="694"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总计</w:t>
            </w:r>
          </w:p>
        </w:tc>
      </w:tr>
      <w:tr>
        <w:tblPrEx>
          <w:tblCellMar>
            <w:top w:w="0" w:type="dxa"/>
            <w:left w:w="0" w:type="dxa"/>
            <w:bottom w:w="0" w:type="dxa"/>
            <w:right w:w="0" w:type="dxa"/>
          </w:tblCellMar>
        </w:tblPrEx>
        <w:trPr>
          <w:trHeight w:val="751" w:hRule="atLeast"/>
          <w:jc w:val="center"/>
        </w:trPr>
        <w:tc>
          <w:tcPr>
            <w:tcW w:w="3771" w:type="dxa"/>
            <w:gridSpan w:val="3"/>
            <w:vMerge w:val="continue"/>
            <w:tcBorders>
              <w:top w:val="single" w:color="auto" w:sz="8" w:space="0"/>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599"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商业企业</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科研机构</w:t>
            </w:r>
          </w:p>
        </w:tc>
        <w:tc>
          <w:tcPr>
            <w:tcW w:w="81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社会公益组织</w:t>
            </w:r>
          </w:p>
        </w:tc>
        <w:tc>
          <w:tcPr>
            <w:tcW w:w="97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法律服务机构</w:t>
            </w:r>
          </w:p>
        </w:tc>
        <w:tc>
          <w:tcPr>
            <w:tcW w:w="71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其他</w:t>
            </w:r>
          </w:p>
        </w:tc>
        <w:tc>
          <w:tcPr>
            <w:tcW w:w="694" w:type="dxa"/>
            <w:vMerge w:val="continue"/>
            <w:tcBorders>
              <w:top w:val="single" w:color="auto" w:sz="8" w:space="0"/>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r>
      <w:tr>
        <w:tblPrEx>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一、本年新收政府信息公开申请数量</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二、上年结转政府信息公开申请数量</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三、本年度办理结果</w:t>
            </w:r>
          </w:p>
        </w:tc>
        <w:tc>
          <w:tcPr>
            <w:tcW w:w="315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（一）予以公开</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315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（二）部分公开（区分处理的，只计这一情形，不计其他情形）</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（三）不予公开</w:t>
            </w: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1.属于国家秘密</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2.其他法律行政法规禁止公开</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3.危及“三安全一稳定”</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4.保护第三方合法权益</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5.属于三类内部事务信息</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6.属于四类过程性信息</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7.属于行政执法案卷</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8.属于行政查询事项</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（四）无法提供</w:t>
            </w: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1.本机关不掌握相关政府信息</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2.没有现成信息需要另行制作</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3.补正后申请内容仍不明确</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（五）不予处理</w:t>
            </w: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1.信访举报投诉类申请</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2.重复申请</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3.要求提供公开出版物</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4.无正当理由大量反复申请</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85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230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5.要求行政机关确认或重新出具已获取信息</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315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（六）其他处理</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617"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3154"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楷体" w:cs="Times New Roman"/>
                <w:kern w:val="0"/>
                <w:sz w:val="20"/>
                <w:szCs w:val="20"/>
              </w:rPr>
              <w:t>（七）总计</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r>
        <w:tblPrEx>
          <w:tblCellMar>
            <w:top w:w="0" w:type="dxa"/>
            <w:left w:w="0" w:type="dxa"/>
            <w:bottom w:w="0" w:type="dxa"/>
            <w:right w:w="0" w:type="dxa"/>
          </w:tblCellMar>
        </w:tblPrEx>
        <w:trPr>
          <w:jc w:val="center"/>
        </w:trPr>
        <w:tc>
          <w:tcPr>
            <w:tcW w:w="3771"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四、结转下年度继续办理</w:t>
            </w:r>
          </w:p>
        </w:tc>
        <w:tc>
          <w:tcPr>
            <w:tcW w:w="59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5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81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97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71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c>
          <w:tcPr>
            <w:tcW w:w="69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Times New Roman" w:eastAsia="仿宋_GB2312" w:cs="Times New Roman"/>
                <w:kern w:val="0"/>
                <w:sz w:val="24"/>
                <w:szCs w:val="32"/>
              </w:rPr>
            </w:pPr>
            <w:r>
              <w:rPr>
                <w:rFonts w:hint="eastAsia" w:ascii="Times New Roman"/>
                <w:sz w:val="20"/>
                <w:lang w:eastAsia="zh-CN"/>
              </w:rPr>
              <w:t>0</w:t>
            </w:r>
          </w:p>
        </w:tc>
      </w:tr>
    </w:tbl>
    <w:p>
      <w:pPr>
        <w:widowControl/>
        <w:shd w:val="clear" w:color="auto" w:fill="FFFFFF"/>
        <w:rPr>
          <w:rFonts w:hint="eastAsia" w:ascii="黑体" w:hAnsi="黑体" w:eastAsia="黑体" w:cs="黑体"/>
          <w:b/>
          <w:bCs/>
          <w:color w:val="333333"/>
          <w:kern w:val="0"/>
          <w:sz w:val="32"/>
          <w:szCs w:val="32"/>
        </w:rPr>
      </w:pPr>
    </w:p>
    <w:p>
      <w:pPr>
        <w:widowControl/>
        <w:shd w:val="clear" w:color="auto" w:fill="FFFFFF"/>
        <w:ind w:firstLine="480"/>
        <w:rPr>
          <w:rFonts w:hint="eastAsia" w:ascii="黑体" w:hAnsi="黑体" w:eastAsia="黑体" w:cs="黑体"/>
          <w:b/>
          <w:bCs/>
          <w:color w:val="333333"/>
          <w:kern w:val="0"/>
          <w:sz w:val="32"/>
          <w:szCs w:val="32"/>
        </w:rPr>
      </w:pPr>
    </w:p>
    <w:p>
      <w:pPr>
        <w:widowControl/>
        <w:shd w:val="clear" w:color="auto" w:fill="FFFFFF"/>
        <w:ind w:firstLine="480"/>
        <w:rPr>
          <w:rFonts w:hint="eastAsia" w:ascii="黑体" w:hAnsi="黑体" w:eastAsia="黑体" w:cs="黑体"/>
          <w:color w:val="333333"/>
          <w:kern w:val="0"/>
          <w:sz w:val="32"/>
          <w:szCs w:val="32"/>
        </w:rPr>
      </w:pPr>
      <w:r>
        <w:rPr>
          <w:rFonts w:hint="eastAsia" w:ascii="黑体" w:hAnsi="黑体" w:eastAsia="黑体" w:cs="黑体"/>
          <w:b/>
          <w:bCs/>
          <w:color w:val="333333"/>
          <w:kern w:val="0"/>
          <w:sz w:val="32"/>
          <w:szCs w:val="32"/>
        </w:rPr>
        <w:t>四、政府信息公开行政复议、行政诉讼情况</w:t>
      </w:r>
    </w:p>
    <w:p>
      <w:pPr>
        <w:widowControl/>
        <w:shd w:val="clear" w:color="auto" w:fill="FFFFFF"/>
        <w:ind w:firstLine="480"/>
        <w:rPr>
          <w:rFonts w:ascii="Times New Roman" w:hAnsi="Times New Roman" w:eastAsia="仿宋_GB2312" w:cs="Times New Roman"/>
          <w:color w:val="333333"/>
          <w:kern w:val="0"/>
          <w:sz w:val="24"/>
          <w:szCs w:val="32"/>
        </w:rPr>
      </w:pPr>
    </w:p>
    <w:tbl>
      <w:tblPr>
        <w:tblStyle w:val="7"/>
        <w:tblW w:w="9071" w:type="dxa"/>
        <w:jc w:val="cente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CellMar>
            <w:top w:w="0" w:type="dxa"/>
            <w:left w:w="0" w:type="dxa"/>
            <w:bottom w:w="0" w:type="dxa"/>
            <w:right w:w="0" w:type="dxa"/>
          </w:tblCellMar>
        </w:tblPrEx>
        <w:trPr>
          <w:jc w:val="center"/>
        </w:trPr>
        <w:tc>
          <w:tcPr>
            <w:tcW w:w="3074" w:type="dxa"/>
            <w:gridSpan w:val="5"/>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行政复议</w:t>
            </w:r>
          </w:p>
        </w:tc>
        <w:tc>
          <w:tcPr>
            <w:tcW w:w="5997" w:type="dxa"/>
            <w:gridSpan w:val="10"/>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行政诉讼</w:t>
            </w:r>
          </w:p>
        </w:tc>
      </w:tr>
      <w:tr>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结果维持</w:t>
            </w:r>
          </w:p>
        </w:tc>
        <w:tc>
          <w:tcPr>
            <w:tcW w:w="604" w:type="dxa"/>
            <w:vMerge w:val="restart"/>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结果纠正</w:t>
            </w:r>
          </w:p>
        </w:tc>
        <w:tc>
          <w:tcPr>
            <w:tcW w:w="604"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其他结果</w:t>
            </w:r>
          </w:p>
        </w:tc>
        <w:tc>
          <w:tcPr>
            <w:tcW w:w="604"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尚未审结</w:t>
            </w:r>
          </w:p>
        </w:tc>
        <w:tc>
          <w:tcPr>
            <w:tcW w:w="658" w:type="dxa"/>
            <w:vMerge w:val="restart"/>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总计</w:t>
            </w:r>
          </w:p>
        </w:tc>
        <w:tc>
          <w:tcPr>
            <w:tcW w:w="2970" w:type="dxa"/>
            <w:gridSpan w:val="5"/>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未经复议直接起诉</w:t>
            </w:r>
          </w:p>
        </w:tc>
        <w:tc>
          <w:tcPr>
            <w:tcW w:w="3027" w:type="dxa"/>
            <w:gridSpan w:val="5"/>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复议后起诉</w:t>
            </w:r>
          </w:p>
        </w:tc>
      </w:tr>
      <w:tr>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604" w:type="dxa"/>
            <w:vMerge w:val="continue"/>
            <w:tcBorders>
              <w:top w:val="nil"/>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604" w:type="dxa"/>
            <w:vMerge w:val="continue"/>
            <w:tcBorders>
              <w:top w:val="single" w:color="auto" w:sz="8" w:space="0"/>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604" w:type="dxa"/>
            <w:vMerge w:val="continue"/>
            <w:tcBorders>
              <w:top w:val="single" w:color="auto" w:sz="8" w:space="0"/>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658" w:type="dxa"/>
            <w:vMerge w:val="continue"/>
            <w:tcBorders>
              <w:top w:val="single" w:color="auto" w:sz="8" w:space="0"/>
              <w:left w:val="nil"/>
              <w:bottom w:val="single" w:color="auto" w:sz="8" w:space="0"/>
              <w:right w:val="single" w:color="auto" w:sz="8" w:space="0"/>
            </w:tcBorders>
            <w:noWrap w:val="0"/>
            <w:vAlign w:val="center"/>
          </w:tcPr>
          <w:p>
            <w:pPr>
              <w:widowControl/>
              <w:rPr>
                <w:rFonts w:ascii="Times New Roman" w:hAnsi="Times New Roman" w:eastAsia="仿宋_GB2312" w:cs="Times New Roman"/>
                <w:kern w:val="0"/>
                <w:sz w:val="24"/>
                <w:szCs w:val="32"/>
              </w:rPr>
            </w:pPr>
          </w:p>
        </w:tc>
        <w:tc>
          <w:tcPr>
            <w:tcW w:w="55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结果维持</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其他结果</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尚未审结</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总计</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结果维持</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结果纠正</w:t>
            </w:r>
          </w:p>
        </w:tc>
        <w:tc>
          <w:tcPr>
            <w:tcW w:w="605"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其他结果</w:t>
            </w:r>
          </w:p>
        </w:tc>
        <w:tc>
          <w:tcPr>
            <w:tcW w:w="60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kern w:val="0"/>
                <w:sz w:val="20"/>
                <w:szCs w:val="20"/>
              </w:rPr>
              <w:t>尚未审结</w:t>
            </w:r>
          </w:p>
        </w:tc>
        <w:tc>
          <w:tcPr>
            <w:tcW w:w="60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rPr>
                <w:rFonts w:ascii="Times New Roman" w:hAnsi="Times New Roman" w:eastAsia="仿宋_GB2312" w:cs="Times New Roman"/>
                <w:kern w:val="0"/>
                <w:sz w:val="24"/>
                <w:szCs w:val="32"/>
              </w:rPr>
            </w:pPr>
            <w:r>
              <w:rPr>
                <w:rFonts w:ascii="Times New Roman" w:hAnsi="Times New Roman" w:eastAsia="仿宋_GB2312" w:cs="Times New Roman"/>
                <w:color w:val="000000"/>
                <w:kern w:val="0"/>
                <w:sz w:val="20"/>
                <w:szCs w:val="20"/>
              </w:rPr>
              <w:t>总计</w:t>
            </w:r>
          </w:p>
        </w:tc>
      </w:tr>
      <w:tr>
        <w:tblPrEx>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58"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55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5"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c>
          <w:tcPr>
            <w:tcW w:w="60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pStyle w:val="17"/>
              <w:jc w:val="center"/>
              <w:rPr>
                <w:rFonts w:ascii="Times New Roman" w:hAnsi="宋体" w:eastAsia="宋体" w:cs="宋体"/>
                <w:kern w:val="0"/>
                <w:sz w:val="20"/>
                <w:szCs w:val="22"/>
                <w:lang w:val="zh-CN" w:eastAsia="zh-CN" w:bidi="zh-CN"/>
              </w:rPr>
            </w:pPr>
            <w:r>
              <w:rPr>
                <w:rFonts w:hint="eastAsia" w:ascii="Times New Roman"/>
                <w:sz w:val="20"/>
                <w:lang w:eastAsia="zh-CN"/>
              </w:rPr>
              <w:t>0</w:t>
            </w:r>
          </w:p>
        </w:tc>
      </w:tr>
    </w:tbl>
    <w:p>
      <w:pPr>
        <w:rPr>
          <w:sz w:val="20"/>
        </w:rPr>
        <w:sectPr>
          <w:pgSz w:w="11910" w:h="16840"/>
          <w:pgMar w:top="1440" w:right="1800" w:bottom="1440" w:left="1800" w:header="720" w:footer="720" w:gutter="0"/>
          <w:cols w:space="720" w:num="1"/>
          <w:docGrid w:linePitch="286" w:charSpace="0"/>
        </w:sectPr>
      </w:pPr>
    </w:p>
    <w:p>
      <w:pPr>
        <w:spacing w:line="520" w:lineRule="exact"/>
        <w:ind w:firstLine="640" w:firstLineChars="200"/>
        <w:rPr>
          <w:rFonts w:hint="default" w:ascii="仿宋_GB2312" w:hAnsi="微软雅黑" w:eastAsia="仿宋_GB2312" w:cs="宋体"/>
          <w:color w:val="000000"/>
          <w:kern w:val="0"/>
          <w:sz w:val="32"/>
          <w:szCs w:val="32"/>
          <w:lang w:val="en-US" w:eastAsia="zh-CN"/>
        </w:rPr>
      </w:pPr>
      <w:r>
        <w:rPr>
          <w:rFonts w:hint="eastAsia" w:ascii="黑体" w:hAnsi="黑体" w:eastAsia="黑体"/>
          <w:color w:val="333333"/>
          <w:sz w:val="32"/>
          <w:szCs w:val="32"/>
        </w:rPr>
        <w:t>五、存在的主要问题及改进情况</w:t>
      </w:r>
    </w:p>
    <w:p>
      <w:pPr>
        <w:keepNext w:val="0"/>
        <w:keepLines w:val="0"/>
        <w:pageBreakBefore w:val="0"/>
        <w:widowControl w:val="0"/>
        <w:kinsoku/>
        <w:wordWrap/>
        <w:overflowPunct/>
        <w:topLinePunct w:val="0"/>
        <w:autoSpaceDE/>
        <w:autoSpaceDN/>
        <w:bidi w:val="0"/>
        <w:adjustRightInd/>
        <w:snapToGrid/>
        <w:spacing w:line="520" w:lineRule="exact"/>
        <w:ind w:firstLine="627" w:firstLineChars="196"/>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过去一年虽然我们在政务公开工作取得了一些成绩，但是也暴露出一些问题。一是信息公开时间节点把握不准。部分信息公开不及时，未能全部按照时间节点公开。二是具体经办人员虽按时发布了内容，但业务不熟，公开的内容和要求存在很大差距，为此我们制定了有效措施。</w:t>
      </w:r>
    </w:p>
    <w:p>
      <w:pPr>
        <w:keepNext w:val="0"/>
        <w:keepLines w:val="0"/>
        <w:pageBreakBefore w:val="0"/>
        <w:widowControl w:val="0"/>
        <w:kinsoku/>
        <w:wordWrap/>
        <w:overflowPunct/>
        <w:topLinePunct w:val="0"/>
        <w:autoSpaceDE/>
        <w:autoSpaceDN/>
        <w:bidi w:val="0"/>
        <w:adjustRightInd/>
        <w:snapToGrid/>
        <w:spacing w:line="520" w:lineRule="exact"/>
        <w:ind w:firstLine="627" w:firstLineChars="196"/>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1、强化领导，确保政务公开工作落到实处。切实加强对信息公开工作的领导和对信息公开工作的督查指导，建立健全政务公开领导小组，明确分工，各司其职，各负其责，确保此项工作的顺利开展。</w:t>
      </w:r>
    </w:p>
    <w:p>
      <w:pPr>
        <w:keepNext w:val="0"/>
        <w:keepLines w:val="0"/>
        <w:pageBreakBefore w:val="0"/>
        <w:widowControl w:val="0"/>
        <w:kinsoku/>
        <w:wordWrap/>
        <w:overflowPunct/>
        <w:topLinePunct w:val="0"/>
        <w:autoSpaceDE/>
        <w:autoSpaceDN/>
        <w:bidi w:val="0"/>
        <w:adjustRightInd/>
        <w:snapToGrid/>
        <w:spacing w:line="520" w:lineRule="exact"/>
        <w:ind w:firstLine="627" w:firstLineChars="196"/>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2、加大宣传力度，加强对政务公开的思想认识。通过加强宣传教育，使全</w:t>
      </w:r>
      <w:r>
        <w:rPr>
          <w:rFonts w:hint="eastAsia" w:ascii="仿宋_GB2312" w:hAnsi="仿宋_GB2312" w:eastAsia="仿宋_GB2312" w:cs="仿宋_GB2312"/>
          <w:color w:val="333333"/>
          <w:sz w:val="32"/>
          <w:szCs w:val="32"/>
          <w:lang w:eastAsia="zh-CN"/>
        </w:rPr>
        <w:t>中心</w:t>
      </w:r>
      <w:r>
        <w:rPr>
          <w:rFonts w:hint="eastAsia" w:ascii="仿宋_GB2312" w:hAnsi="仿宋_GB2312" w:eastAsia="仿宋_GB2312" w:cs="仿宋_GB2312"/>
          <w:color w:val="333333"/>
          <w:sz w:val="32"/>
          <w:szCs w:val="32"/>
        </w:rPr>
        <w:t>上下充分认识到做好政府信息</w:t>
      </w:r>
      <w:r>
        <w:rPr>
          <w:rFonts w:hint="eastAsia" w:ascii="仿宋_GB2312" w:hAnsi="仿宋_GB2312" w:eastAsia="仿宋_GB2312" w:cs="仿宋_GB2312"/>
          <w:color w:val="333333"/>
          <w:sz w:val="32"/>
          <w:szCs w:val="32"/>
          <w:lang w:eastAsia="zh-CN"/>
        </w:rPr>
        <w:t>公开工作</w:t>
      </w:r>
      <w:r>
        <w:rPr>
          <w:rFonts w:hint="eastAsia" w:ascii="仿宋_GB2312" w:hAnsi="仿宋_GB2312" w:eastAsia="仿宋_GB2312" w:cs="仿宋_GB2312"/>
          <w:color w:val="333333"/>
          <w:sz w:val="32"/>
          <w:szCs w:val="32"/>
        </w:rPr>
        <w:t>的必要性和重要意义，形成关心关注政务公开工作的合力。</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27" w:firstLineChars="196"/>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强化监督，不断深化政务公开。建立信息公开内容审查和更新维护、考核评估、培训宣传和工作年报等工作制度，建立和完善信息公开审查制度，确保信息公开工作制度化、规范化，把政务公开工作真正落到实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color w:val="333333"/>
          <w:sz w:val="32"/>
          <w:szCs w:val="32"/>
        </w:rPr>
        <w:t>六、其他需要报告的事项</w:t>
      </w:r>
    </w:p>
    <w:p>
      <w:pPr>
        <w:spacing w:line="520" w:lineRule="exact"/>
        <w:ind w:firstLine="640" w:firstLineChars="200"/>
        <w:rPr>
          <w:rFonts w:ascii="仿宋_GB2312" w:eastAsia="仿宋_GB2312"/>
          <w:sz w:val="32"/>
          <w:szCs w:val="32"/>
        </w:rPr>
      </w:pPr>
      <w:r>
        <w:rPr>
          <w:rFonts w:hint="eastAsia" w:ascii="仿宋_GB2312" w:eastAsia="仿宋_GB2312"/>
          <w:color w:val="333333"/>
          <w:sz w:val="32"/>
          <w:szCs w:val="32"/>
        </w:rPr>
        <w:t>20</w:t>
      </w:r>
      <w:r>
        <w:rPr>
          <w:rFonts w:hint="eastAsia" w:ascii="仿宋_GB2312" w:eastAsia="仿宋_GB2312"/>
          <w:color w:val="333333"/>
          <w:sz w:val="32"/>
          <w:szCs w:val="32"/>
          <w:lang w:eastAsia="zh-CN"/>
        </w:rPr>
        <w:t>2</w:t>
      </w:r>
      <w:r>
        <w:rPr>
          <w:rFonts w:hint="eastAsia" w:ascii="仿宋_GB2312" w:eastAsia="仿宋_GB2312"/>
          <w:color w:val="333333"/>
          <w:sz w:val="32"/>
          <w:szCs w:val="32"/>
          <w:lang w:val="en-US" w:eastAsia="zh-CN"/>
        </w:rPr>
        <w:t>0</w:t>
      </w:r>
      <w:r>
        <w:rPr>
          <w:rFonts w:hint="eastAsia" w:ascii="仿宋_GB2312" w:eastAsia="仿宋_GB2312"/>
          <w:color w:val="333333"/>
          <w:sz w:val="32"/>
          <w:szCs w:val="32"/>
        </w:rPr>
        <w:t>年度本单位无其他需要报告的事项。</w:t>
      </w:r>
    </w:p>
    <w:p>
      <w:pPr>
        <w:spacing w:line="400" w:lineRule="exact"/>
        <w:rPr>
          <w:rFonts w:hint="eastAsia" w:ascii="仿宋_GB2312" w:eastAsia="仿宋_GB2312"/>
          <w:sz w:val="32"/>
          <w:szCs w:val="32"/>
        </w:rPr>
      </w:pPr>
    </w:p>
    <w:p>
      <w:pPr>
        <w:spacing w:line="400" w:lineRule="exact"/>
        <w:rPr>
          <w:rFonts w:ascii="仿宋_GB2312" w:eastAsia="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376ED3"/>
    <w:multiLevelType w:val="singleLevel"/>
    <w:tmpl w:val="8B376ED3"/>
    <w:lvl w:ilvl="0" w:tentative="0">
      <w:start w:val="3"/>
      <w:numFmt w:val="decimal"/>
      <w:suff w:val="nothing"/>
      <w:lvlText w:val="%1、"/>
      <w:lvlJc w:val="left"/>
    </w:lvl>
  </w:abstractNum>
  <w:abstractNum w:abstractNumId="1">
    <w:nsid w:val="01C3345F"/>
    <w:multiLevelType w:val="singleLevel"/>
    <w:tmpl w:val="01C3345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xMGM1M2M2MGEwOWE4MzhhZjhjZDEzYzI5ZjhkNDAifQ=="/>
  </w:docVars>
  <w:rsids>
    <w:rsidRoot w:val="00404404"/>
    <w:rsid w:val="00063DDD"/>
    <w:rsid w:val="000A31C3"/>
    <w:rsid w:val="000D703A"/>
    <w:rsid w:val="000F0D1B"/>
    <w:rsid w:val="00126654"/>
    <w:rsid w:val="001375F0"/>
    <w:rsid w:val="001A32C9"/>
    <w:rsid w:val="001C1B2F"/>
    <w:rsid w:val="003266F4"/>
    <w:rsid w:val="003606AD"/>
    <w:rsid w:val="00395615"/>
    <w:rsid w:val="00404404"/>
    <w:rsid w:val="0042012A"/>
    <w:rsid w:val="00443593"/>
    <w:rsid w:val="00466AFF"/>
    <w:rsid w:val="00467114"/>
    <w:rsid w:val="004A1E98"/>
    <w:rsid w:val="00524D3D"/>
    <w:rsid w:val="005E296B"/>
    <w:rsid w:val="006325EB"/>
    <w:rsid w:val="0065235E"/>
    <w:rsid w:val="006C15C1"/>
    <w:rsid w:val="006F5937"/>
    <w:rsid w:val="00741F6C"/>
    <w:rsid w:val="007C5D40"/>
    <w:rsid w:val="00805A27"/>
    <w:rsid w:val="008404D5"/>
    <w:rsid w:val="00847156"/>
    <w:rsid w:val="00893018"/>
    <w:rsid w:val="009B13DD"/>
    <w:rsid w:val="009F6E1E"/>
    <w:rsid w:val="00A06B4B"/>
    <w:rsid w:val="00A179E1"/>
    <w:rsid w:val="00A42153"/>
    <w:rsid w:val="00A658F0"/>
    <w:rsid w:val="00C407A8"/>
    <w:rsid w:val="00D0542A"/>
    <w:rsid w:val="00D26C7A"/>
    <w:rsid w:val="00D367AE"/>
    <w:rsid w:val="00D40BE8"/>
    <w:rsid w:val="00E32AE5"/>
    <w:rsid w:val="00E367E8"/>
    <w:rsid w:val="00E85202"/>
    <w:rsid w:val="00F942C6"/>
    <w:rsid w:val="00FA1843"/>
    <w:rsid w:val="0150322D"/>
    <w:rsid w:val="018032EC"/>
    <w:rsid w:val="019A11B7"/>
    <w:rsid w:val="02027887"/>
    <w:rsid w:val="02152390"/>
    <w:rsid w:val="02E52DA0"/>
    <w:rsid w:val="07015E82"/>
    <w:rsid w:val="083217BB"/>
    <w:rsid w:val="093E64C8"/>
    <w:rsid w:val="09A5526C"/>
    <w:rsid w:val="0A1E4102"/>
    <w:rsid w:val="0B2145FC"/>
    <w:rsid w:val="0BC159F0"/>
    <w:rsid w:val="0C1F5314"/>
    <w:rsid w:val="0E2312F1"/>
    <w:rsid w:val="0EB62941"/>
    <w:rsid w:val="0F821B49"/>
    <w:rsid w:val="10D862BF"/>
    <w:rsid w:val="13951791"/>
    <w:rsid w:val="13AE48B8"/>
    <w:rsid w:val="144C35FC"/>
    <w:rsid w:val="160B5403"/>
    <w:rsid w:val="17680E24"/>
    <w:rsid w:val="17890076"/>
    <w:rsid w:val="1CA85ED5"/>
    <w:rsid w:val="1D794CC4"/>
    <w:rsid w:val="1DB9614E"/>
    <w:rsid w:val="1FAD0BF3"/>
    <w:rsid w:val="224B1E46"/>
    <w:rsid w:val="25221AB1"/>
    <w:rsid w:val="253C3D5D"/>
    <w:rsid w:val="25EB72C3"/>
    <w:rsid w:val="264E68D4"/>
    <w:rsid w:val="27CF5967"/>
    <w:rsid w:val="28C409B0"/>
    <w:rsid w:val="29151955"/>
    <w:rsid w:val="29467282"/>
    <w:rsid w:val="297C1060"/>
    <w:rsid w:val="29CC47BA"/>
    <w:rsid w:val="29DA10DE"/>
    <w:rsid w:val="2AA322F2"/>
    <w:rsid w:val="2BC51FA5"/>
    <w:rsid w:val="2D056A3E"/>
    <w:rsid w:val="2E1B6640"/>
    <w:rsid w:val="30057A2B"/>
    <w:rsid w:val="30C905EC"/>
    <w:rsid w:val="31E0784C"/>
    <w:rsid w:val="32386ABC"/>
    <w:rsid w:val="34327548"/>
    <w:rsid w:val="343D0B5C"/>
    <w:rsid w:val="351B756E"/>
    <w:rsid w:val="35B3282A"/>
    <w:rsid w:val="364B19D6"/>
    <w:rsid w:val="36F03EA5"/>
    <w:rsid w:val="37110094"/>
    <w:rsid w:val="37663BA1"/>
    <w:rsid w:val="394409DD"/>
    <w:rsid w:val="3BF54C71"/>
    <w:rsid w:val="3C014BD6"/>
    <w:rsid w:val="3C5605C3"/>
    <w:rsid w:val="3C6341DB"/>
    <w:rsid w:val="3C72168A"/>
    <w:rsid w:val="3CE21021"/>
    <w:rsid w:val="3DEC5A21"/>
    <w:rsid w:val="3EA636D3"/>
    <w:rsid w:val="405670C3"/>
    <w:rsid w:val="41EC57BA"/>
    <w:rsid w:val="425B334F"/>
    <w:rsid w:val="42D60AFD"/>
    <w:rsid w:val="43071753"/>
    <w:rsid w:val="434B6C23"/>
    <w:rsid w:val="436B45D2"/>
    <w:rsid w:val="4510132B"/>
    <w:rsid w:val="453A0C3B"/>
    <w:rsid w:val="45B5217A"/>
    <w:rsid w:val="46BE7658"/>
    <w:rsid w:val="498A6C54"/>
    <w:rsid w:val="4ABA6BA9"/>
    <w:rsid w:val="4DF35DFB"/>
    <w:rsid w:val="4E01790F"/>
    <w:rsid w:val="4E13549A"/>
    <w:rsid w:val="4E1C2CA3"/>
    <w:rsid w:val="50176779"/>
    <w:rsid w:val="52824145"/>
    <w:rsid w:val="53A11E3F"/>
    <w:rsid w:val="546E6190"/>
    <w:rsid w:val="55AC011E"/>
    <w:rsid w:val="59694BF5"/>
    <w:rsid w:val="5A9B21E7"/>
    <w:rsid w:val="5AD739C7"/>
    <w:rsid w:val="5AE01A12"/>
    <w:rsid w:val="5C47466C"/>
    <w:rsid w:val="5C9D08FE"/>
    <w:rsid w:val="5EF230A1"/>
    <w:rsid w:val="5F8E73A6"/>
    <w:rsid w:val="60C16179"/>
    <w:rsid w:val="624A73CF"/>
    <w:rsid w:val="63632654"/>
    <w:rsid w:val="6388316B"/>
    <w:rsid w:val="65642F8B"/>
    <w:rsid w:val="657D771D"/>
    <w:rsid w:val="664259AC"/>
    <w:rsid w:val="66C25094"/>
    <w:rsid w:val="677B3B4E"/>
    <w:rsid w:val="67D716B0"/>
    <w:rsid w:val="68AF06FD"/>
    <w:rsid w:val="6966349D"/>
    <w:rsid w:val="6A7058FA"/>
    <w:rsid w:val="6A712207"/>
    <w:rsid w:val="6A8130C3"/>
    <w:rsid w:val="6B226C47"/>
    <w:rsid w:val="6B2A7001"/>
    <w:rsid w:val="6B9F22EC"/>
    <w:rsid w:val="6BA8235A"/>
    <w:rsid w:val="6BC64B21"/>
    <w:rsid w:val="6BCB31D3"/>
    <w:rsid w:val="6C193335"/>
    <w:rsid w:val="6DC10F36"/>
    <w:rsid w:val="6FDD63E5"/>
    <w:rsid w:val="70741E63"/>
    <w:rsid w:val="709D6E57"/>
    <w:rsid w:val="7120604B"/>
    <w:rsid w:val="71E427DC"/>
    <w:rsid w:val="72F2451C"/>
    <w:rsid w:val="75123C0B"/>
    <w:rsid w:val="75B432FA"/>
    <w:rsid w:val="76B86EE7"/>
    <w:rsid w:val="77A50405"/>
    <w:rsid w:val="78527AE6"/>
    <w:rsid w:val="7A171AB0"/>
    <w:rsid w:val="7A340F1D"/>
    <w:rsid w:val="7BDB660B"/>
    <w:rsid w:val="7C4B5C4E"/>
    <w:rsid w:val="7C685980"/>
    <w:rsid w:val="7CCC6B61"/>
    <w:rsid w:val="7D326C16"/>
    <w:rsid w:val="7DE73C92"/>
    <w:rsid w:val="7DEB78D4"/>
    <w:rsid w:val="7F4E16FF"/>
    <w:rsid w:val="7F733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widowControl/>
      <w:spacing w:before="100" w:beforeAutospacing="1" w:after="100" w:afterAutospacing="1"/>
      <w:jc w:val="left"/>
      <w:outlineLvl w:val="0"/>
    </w:pPr>
    <w:rPr>
      <w:rFonts w:ascii="宋体" w:hAnsi="宋体" w:eastAsia="宋体" w:cs="宋体"/>
      <w:color w:val="000000"/>
      <w:kern w:val="36"/>
      <w:sz w:val="48"/>
      <w:szCs w:val="4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6"/>
    <w:qFormat/>
    <w:uiPriority w:val="1"/>
    <w:pPr>
      <w:autoSpaceDE w:val="0"/>
      <w:autoSpaceDN w:val="0"/>
      <w:spacing w:before="2"/>
      <w:ind w:left="500"/>
      <w:jc w:val="left"/>
    </w:pPr>
    <w:rPr>
      <w:rFonts w:ascii="仿宋_GB2312" w:hAnsi="仿宋_GB2312" w:eastAsia="仿宋_GB2312" w:cs="仿宋_GB2312"/>
      <w:kern w:val="0"/>
      <w:sz w:val="32"/>
      <w:szCs w:val="32"/>
      <w:lang w:val="zh-CN" w:bidi="zh-CN"/>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微软雅黑" w:hAnsi="微软雅黑" w:eastAsia="微软雅黑" w:cs="宋体"/>
      <w:color w:val="000000"/>
      <w:kern w:val="0"/>
      <w:szCs w:val="21"/>
    </w:rPr>
  </w:style>
  <w:style w:type="character" w:styleId="9">
    <w:name w:val="Strong"/>
    <w:basedOn w:val="8"/>
    <w:qFormat/>
    <w:uiPriority w:val="22"/>
    <w:rPr>
      <w:b/>
      <w:bCs/>
    </w:rPr>
  </w:style>
  <w:style w:type="character" w:styleId="10">
    <w:name w:val="Hyperlink"/>
    <w:basedOn w:val="8"/>
    <w:semiHidden/>
    <w:unhideWhenUsed/>
    <w:qFormat/>
    <w:uiPriority w:val="99"/>
    <w:rPr>
      <w:color w:val="333333"/>
      <w:u w:val="none"/>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标题 1 Char"/>
    <w:basedOn w:val="8"/>
    <w:link w:val="2"/>
    <w:qFormat/>
    <w:uiPriority w:val="9"/>
    <w:rPr>
      <w:rFonts w:ascii="宋体" w:hAnsi="宋体" w:eastAsia="宋体" w:cs="宋体"/>
      <w:color w:val="000000"/>
      <w:kern w:val="36"/>
      <w:sz w:val="48"/>
      <w:szCs w:val="48"/>
    </w:rPr>
  </w:style>
  <w:style w:type="character" w:customStyle="1" w:styleId="14">
    <w:name w:val="fontsize"/>
    <w:basedOn w:val="8"/>
    <w:qFormat/>
    <w:uiPriority w:val="0"/>
  </w:style>
  <w:style w:type="table" w:customStyle="1" w:styleId="15">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character" w:customStyle="1" w:styleId="16">
    <w:name w:val="正文文本 Char"/>
    <w:basedOn w:val="8"/>
    <w:link w:val="3"/>
    <w:qFormat/>
    <w:uiPriority w:val="1"/>
    <w:rPr>
      <w:rFonts w:ascii="仿宋_GB2312" w:hAnsi="仿宋_GB2312" w:eastAsia="仿宋_GB2312" w:cs="仿宋_GB2312"/>
      <w:kern w:val="0"/>
      <w:sz w:val="32"/>
      <w:szCs w:val="32"/>
      <w:lang w:val="zh-CN" w:bidi="zh-CN"/>
    </w:rPr>
  </w:style>
  <w:style w:type="paragraph" w:customStyle="1" w:styleId="17">
    <w:name w:val="Table Paragraph"/>
    <w:basedOn w:val="1"/>
    <w:qFormat/>
    <w:uiPriority w:val="1"/>
    <w:pPr>
      <w:autoSpaceDE w:val="0"/>
      <w:autoSpaceDN w:val="0"/>
      <w:jc w:val="left"/>
    </w:pPr>
    <w:rPr>
      <w:rFonts w:ascii="宋体" w:hAnsi="宋体" w:eastAsia="宋体" w:cs="宋体"/>
      <w:kern w:val="0"/>
      <w:sz w:val="2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2450</Words>
  <Characters>2591</Characters>
  <Lines>19</Lines>
  <Paragraphs>5</Paragraphs>
  <TotalTime>3</TotalTime>
  <ScaleCrop>false</ScaleCrop>
  <LinksUpToDate>false</LinksUpToDate>
  <CharactersWithSpaces>2625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2020-01-19T01:07:00Z</dcterms:created>
  <dc:creator>gyb1</dc:creator>
  <cp:lastModifiedBy>芝芝</cp:lastModifiedBy>
  <cp:lastPrinted>2021-01-25T00:41:00Z</cp:lastPrinted>
  <dcterms:modified xsi:type="dcterms:W3CDTF">2024-07-02T07:05:13Z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B289F83FF924421C8FCA3E916BCC73CD_12</vt:lpwstr>
  </property>
</Properties>
</file>