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金寨县天堂寨镇202</w:t>
      </w:r>
      <w:r>
        <w:rPr>
          <w:rFonts w:hint="eastAsia" w:ascii="方正小标宋_GBK" w:hAnsi="方正小标宋_GBK" w:eastAsia="方正小标宋_GBK" w:cs="方正小标宋_GBK"/>
          <w:sz w:val="44"/>
          <w:szCs w:val="44"/>
          <w:lang w:val="en-US" w:eastAsia="zh-CN"/>
        </w:rPr>
        <w:t>0</w:t>
      </w:r>
      <w:r>
        <w:rPr>
          <w:rFonts w:hint="eastAsia" w:ascii="方正小标宋_GBK" w:hAnsi="方正小标宋_GBK" w:eastAsia="方正小标宋_GBK" w:cs="方正小标宋_GBK"/>
          <w:sz w:val="44"/>
          <w:szCs w:val="44"/>
        </w:rPr>
        <w:t>年信息公开年度</w:t>
      </w: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工作报告</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ascii="微软雅黑" w:hAnsi="微软雅黑" w:eastAsia="微软雅黑" w:cs="微软雅黑"/>
          <w:i w:val="0"/>
          <w:iCs w:val="0"/>
          <w:caps w:val="0"/>
          <w:color w:val="333333"/>
          <w:spacing w:val="0"/>
          <w:sz w:val="32"/>
          <w:szCs w:val="32"/>
        </w:rPr>
      </w:pPr>
      <w:r>
        <w:rPr>
          <w:rFonts w:ascii="仿宋_GB2312" w:hAnsi="微软雅黑" w:eastAsia="仿宋_GB2312" w:cs="仿宋_GB2312"/>
          <w:i w:val="0"/>
          <w:iCs w:val="0"/>
          <w:caps w:val="0"/>
          <w:color w:val="333333"/>
          <w:spacing w:val="0"/>
          <w:kern w:val="0"/>
          <w:sz w:val="28"/>
          <w:szCs w:val="28"/>
          <w:bdr w:val="none" w:color="auto" w:sz="0" w:space="0"/>
          <w:shd w:val="clear" w:fill="FFFFFF"/>
          <w:lang w:val="en-US" w:eastAsia="zh-CN" w:bidi="ar"/>
        </w:rPr>
        <w:t>   </w:t>
      </w:r>
      <w:r>
        <w:rPr>
          <w:rFonts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  本报告依据《中华人民共和国政府信息公开条例》（以下简称新《条例》）、《六安市人民政府办公室关于做好政府信息公开年度报告编制工作的通知》（六政办秘〔</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2020〕161号）和《金寨县政务公开办公室关于做好2020年度政府信息公开年度报告编制工作的通知》金政公开〔2021〕2号要求编制而成。报告主要包括：总体情况、主动公开政府信息情况、收到和处理政府信息公开申请情况、因政府信息公开被申请行政复议和提起行政诉讼情况、政府信息公开工作存在主要问题及改进情况和其他需要报告事项。本报告中使用数据统计期限为2020年1月1日至12月31日，报告的电子版可金寨县天堂寨镇信息公开网（</w:t>
      </w:r>
      <w:r>
        <w:rPr>
          <w:rFonts w:hint="eastAsia" w:ascii="仿宋_GB2312" w:hAnsi="微软雅黑" w:eastAsia="仿宋_GB2312" w:cs="仿宋_GB2312"/>
          <w:i w:val="0"/>
          <w:iCs w:val="0"/>
          <w:caps w:val="0"/>
          <w:color w:val="333333"/>
          <w:spacing w:val="0"/>
          <w:kern w:val="0"/>
          <w:sz w:val="32"/>
          <w:szCs w:val="32"/>
          <w:u w:val="none"/>
          <w:bdr w:val="none" w:color="auto" w:sz="0" w:space="0"/>
          <w:shd w:val="clear" w:fill="FFFFFF"/>
          <w:lang w:val="en-US" w:eastAsia="zh-CN" w:bidi="ar"/>
        </w:rPr>
        <w:fldChar w:fldCharType="begin"/>
      </w:r>
      <w:r>
        <w:rPr>
          <w:rFonts w:hint="eastAsia" w:ascii="仿宋_GB2312" w:hAnsi="微软雅黑" w:eastAsia="仿宋_GB2312" w:cs="仿宋_GB2312"/>
          <w:i w:val="0"/>
          <w:iCs w:val="0"/>
          <w:caps w:val="0"/>
          <w:color w:val="333333"/>
          <w:spacing w:val="0"/>
          <w:kern w:val="0"/>
          <w:sz w:val="32"/>
          <w:szCs w:val="32"/>
          <w:u w:val="none"/>
          <w:bdr w:val="none" w:color="auto" w:sz="0" w:space="0"/>
          <w:shd w:val="clear" w:fill="FFFFFF"/>
          <w:lang w:val="en-US" w:eastAsia="zh-CN" w:bidi="ar"/>
        </w:rPr>
        <w:instrText xml:space="preserve"> HYPERLINK "http://www.ahjinzhai.gov.cn/public/column/6597161?type=4&amp;catId=7060371&amp;action=list" </w:instrText>
      </w:r>
      <w:r>
        <w:rPr>
          <w:rFonts w:hint="eastAsia" w:ascii="仿宋_GB2312" w:hAnsi="微软雅黑" w:eastAsia="仿宋_GB2312" w:cs="仿宋_GB2312"/>
          <w:i w:val="0"/>
          <w:iCs w:val="0"/>
          <w:caps w:val="0"/>
          <w:color w:val="333333"/>
          <w:spacing w:val="0"/>
          <w:kern w:val="0"/>
          <w:sz w:val="32"/>
          <w:szCs w:val="32"/>
          <w:u w:val="none"/>
          <w:bdr w:val="none" w:color="auto" w:sz="0" w:space="0"/>
          <w:shd w:val="clear" w:fill="FFFFFF"/>
          <w:lang w:val="en-US" w:eastAsia="zh-CN" w:bidi="ar"/>
        </w:rPr>
        <w:fldChar w:fldCharType="separate"/>
      </w:r>
      <w:r>
        <w:rPr>
          <w:rStyle w:val="5"/>
          <w:rFonts w:hint="eastAsia" w:ascii="仿宋_GB2312" w:hAnsi="微软雅黑" w:eastAsia="仿宋_GB2312" w:cs="仿宋_GB2312"/>
          <w:i w:val="0"/>
          <w:iCs w:val="0"/>
          <w:caps w:val="0"/>
          <w:color w:val="333333"/>
          <w:spacing w:val="0"/>
          <w:sz w:val="32"/>
          <w:szCs w:val="32"/>
          <w:u w:val="none"/>
          <w:bdr w:val="none" w:color="auto" w:sz="0" w:space="0"/>
          <w:shd w:val="clear" w:fill="FFFFFF"/>
        </w:rPr>
        <w:t>http://www.ahjinzhai.gov.cn/public/column/6597161?type=4&amp;catId=7060371&amp;action=list</w:t>
      </w:r>
      <w:r>
        <w:rPr>
          <w:rFonts w:hint="eastAsia" w:ascii="仿宋_GB2312" w:hAnsi="微软雅黑" w:eastAsia="仿宋_GB2312" w:cs="仿宋_GB2312"/>
          <w:i w:val="0"/>
          <w:iCs w:val="0"/>
          <w:caps w:val="0"/>
          <w:color w:val="333333"/>
          <w:spacing w:val="0"/>
          <w:kern w:val="0"/>
          <w:sz w:val="32"/>
          <w:szCs w:val="32"/>
          <w:u w:val="none"/>
          <w:bdr w:val="none" w:color="auto" w:sz="0" w:space="0"/>
          <w:shd w:val="clear" w:fill="FFFFFF"/>
          <w:lang w:val="en-US" w:eastAsia="zh-CN" w:bidi="ar"/>
        </w:rPr>
        <w:fldChar w:fldCharType="end"/>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）下载。如对本报告有任何疑问，请与天堂寨镇人民政府办公室政务公开办联系（地址：天堂寨镇政府一楼党政办公室，电话0564-2700601，邮编：237343）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ascii="方正黑体_GBK" w:hAnsi="方正黑体_GBK" w:eastAsia="方正黑体_GBK" w:cs="方正黑体_GBK"/>
          <w:i w:val="0"/>
          <w:iCs w:val="0"/>
          <w:caps w:val="0"/>
          <w:color w:val="333333"/>
          <w:spacing w:val="0"/>
          <w:kern w:val="0"/>
          <w:sz w:val="32"/>
          <w:szCs w:val="32"/>
          <w:bdr w:val="none" w:color="auto" w:sz="0" w:space="0"/>
          <w:shd w:val="clear" w:fill="FFFFFF"/>
          <w:lang w:val="en-US" w:eastAsia="zh-CN" w:bidi="ar"/>
        </w:rPr>
        <w:t>    一、总体情况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    2020年，天堂寨镇紧紧围绕政务公开工作全年目标任务组织实施，完善机制、落实责任、注重质量上下功夫，天堂寨镇主动公开信息1276条，基层政务公开标准化规范化试点主动公开信息1650条。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1.不断推进基层政务公开标准化规范化。强化标准化规范化对基层政务公开的引领作用，2020年。天堂寨镇按照省市县要求，在11月底对政府信息公开的目录进行全面合理调整，对新增栏目进行补充完善，确保全面实现公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2.做好政府重点领域信息公开。规范公开程序和要求，把政府信息公开责任分解落实到每一个部门，实时更新、信息审核、日常监管等工作，强调主动公开和发布时限，确保信息公开的及时性、权威性、准确性。在全面推进政务公开、履行政府信息公开法定义务的同时，严把保密审查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3.积极做好信息公开平台建设。全面推深做实重点民生领域信息公开，通过“线上线下”结合、部门村组配合等方式全面公开民生政策、及时公开财政资金使用情况，推动整改更精准、更公开。积极公开上市挂牌、直接融资、税融通、新型政银担、续贷过桥等金融政策解读，回应社会关切，归集公开内容，确保应公开尽公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kern w:val="0"/>
          <w:sz w:val="32"/>
          <w:szCs w:val="32"/>
          <w:bdr w:val="none" w:color="auto" w:sz="0" w:space="0"/>
          <w:shd w:val="clear" w:fill="FFFFFF"/>
          <w:lang w:val="en-US" w:eastAsia="zh-CN" w:bidi="ar"/>
        </w:rPr>
        <w:t>    （一）主动公开</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在公开过程中，天堂寨镇首先是加强宣传、注重引导。特别是今年，政务公开在新开设了两化栏目，原本的目录体系做出了完善和调整，政务公开建设非一日之功，也非一人之力能完成的，通过加大宣传讲解，紧紧围绕落实新修订政务公开重点工作任务分工，特别是在政策解读、回应社会关切、权力结果运行、以及惠民资金的使用与公示上下功夫，各单位部门协调，注重配合，及时与上级部门领导联系，沟通。制定切实可行、符合实际的任务清单和责任清单，形成了长效机制，做到发现问题及时下达问题清单，补缺补差，从而及时解决问题 ，更好的服务于政务公开工作。确保公开效果不折不扣显现。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kern w:val="0"/>
          <w:sz w:val="32"/>
          <w:szCs w:val="32"/>
          <w:bdr w:val="none" w:color="auto" w:sz="0" w:space="0"/>
          <w:shd w:val="clear" w:fill="FFFFFF"/>
          <w:lang w:val="en-US" w:eastAsia="zh-CN" w:bidi="ar"/>
        </w:rPr>
        <w:t>    （二）依申请公开。</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天堂寨镇严格按照省市县文件要求，修订依申请公开制度和申请表、流程图等内容，信息员按照新要求办理依申请公开。2020年度我镇未收到政府信息公开申请。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kern w:val="0"/>
          <w:sz w:val="32"/>
          <w:szCs w:val="32"/>
          <w:bdr w:val="none" w:color="auto" w:sz="0" w:space="0"/>
          <w:shd w:val="clear" w:fill="FFFFFF"/>
          <w:lang w:val="en-US" w:eastAsia="zh-CN" w:bidi="ar"/>
        </w:rPr>
        <w:t>    （三）政府信息管理。</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天堂寨镇根据《中华人民共和国保守国家秘密法》《中华人民共和国政府信息公开条例》严格落实三级管理制度，政府负责人为书记信箱审核员、分管领导为信息发布审核员，具体经办人员为信息编发员，在履行政府信息公开法定义务的同时，严把保密审查关，保证信息公开发布规范标准。2020年度我镇未发生个人隐私泄露、公开内容表述不规范的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kern w:val="0"/>
          <w:sz w:val="32"/>
          <w:szCs w:val="32"/>
          <w:bdr w:val="none" w:color="auto" w:sz="0" w:space="0"/>
          <w:shd w:val="clear" w:fill="FFFFFF"/>
          <w:lang w:val="en-US" w:eastAsia="zh-CN" w:bidi="ar"/>
        </w:rPr>
        <w:t>    （四）平台建设情况。</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天堂寨镇落实政府信息公开条例制度，规范平台建设，通过政府网站、“皖事通”平台、自助办事服务终端等渠道与镇政府政务公开栏、村级公开栏等线上线相结合，全面准确公开政务服务事项、办事指南、办事流程、办事机构等信息。主动向群众推送政务服务信息，让群众对事前准备清晰明了，事中进展实时掌握、事后结果及时获知。并在每月民生工程宣传日时，参与利企便民的最新法律法规等政策解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kern w:val="0"/>
          <w:sz w:val="32"/>
          <w:szCs w:val="32"/>
          <w:bdr w:val="none" w:color="auto" w:sz="0" w:space="0"/>
          <w:shd w:val="clear" w:fill="FFFFFF"/>
          <w:lang w:val="en-US" w:eastAsia="zh-CN" w:bidi="ar"/>
        </w:rPr>
        <w:t>    （五）监督保障情况。</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完善机制，落实责任，镇政府在机构改革后及时调整充实了政务公开工作领导组成员，</w:t>
      </w:r>
      <w:r>
        <w:rPr>
          <w:rFonts w:hint="eastAsia" w:ascii="仿宋_GB2312" w:hAnsi="微软雅黑" w:eastAsia="仿宋_GB2312" w:cs="仿宋_GB2312"/>
          <w:i w:val="0"/>
          <w:iCs w:val="0"/>
          <w:caps w:val="0"/>
          <w:color w:val="000000"/>
          <w:spacing w:val="0"/>
          <w:kern w:val="0"/>
          <w:sz w:val="32"/>
          <w:szCs w:val="32"/>
          <w:bdr w:val="none" w:color="auto" w:sz="0" w:space="0"/>
          <w:shd w:val="clear" w:fill="FFFFFF"/>
          <w:lang w:val="en-US" w:eastAsia="zh-CN" w:bidi="ar"/>
        </w:rPr>
        <w:t>镇纪委、镇政府信息公开分管领导负责会同有关部门建立健全全镇监督保障机制，抽调专人采取定期检查、随机抽查的形式，对全镇政府信息公开责任主体单位的政府信息公开工作进行监督，</w:t>
      </w: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逐部门、逐栏目列出问题清单，实行销号管理，</w:t>
      </w:r>
      <w:r>
        <w:rPr>
          <w:rFonts w:hint="eastAsia" w:ascii="仿宋_GB2312" w:hAnsi="微软雅黑" w:eastAsia="仿宋_GB2312" w:cs="仿宋_GB2312"/>
          <w:i w:val="0"/>
          <w:iCs w:val="0"/>
          <w:caps w:val="0"/>
          <w:color w:val="000000"/>
          <w:spacing w:val="0"/>
          <w:kern w:val="0"/>
          <w:sz w:val="32"/>
          <w:szCs w:val="32"/>
          <w:bdr w:val="none" w:color="auto" w:sz="0" w:space="0"/>
          <w:shd w:val="clear" w:fill="FFFFFF"/>
          <w:lang w:val="en-US" w:eastAsia="zh-CN" w:bidi="ar"/>
        </w:rPr>
        <w:t>对工作开展好的通报表扬，对被动应付、行动迟缓的给予通报批评，考核结果纳入政府工作年度考评；对不按规定进行政务信息公开，造成严重后果的予以责任追究，并取消年度评先评优资格。 </w:t>
      </w:r>
      <w:r>
        <w:rPr>
          <w:rFonts w:hint="eastAsia" w:ascii="仿宋_GB2312" w:hAnsi="微软雅黑" w:eastAsia="仿宋_GB2312" w:cs="仿宋_GB2312"/>
          <w:i w:val="0"/>
          <w:iCs w:val="0"/>
          <w:caps w:val="0"/>
          <w:color w:val="282E2E"/>
          <w:spacing w:val="0"/>
          <w:kern w:val="0"/>
          <w:sz w:val="32"/>
          <w:szCs w:val="32"/>
          <w:bdr w:val="none" w:color="auto" w:sz="0" w:space="0"/>
          <w:shd w:val="clear" w:fill="FFFFFF"/>
          <w:lang w:val="en-US" w:eastAsia="zh-CN" w:bidi="ar"/>
        </w:rPr>
        <w:t>同时，对每</w:t>
      </w:r>
      <w:r>
        <w:rPr>
          <w:rFonts w:hint="eastAsia" w:ascii="微软雅黑" w:hAnsi="微软雅黑" w:eastAsia="微软雅黑" w:cs="微软雅黑"/>
          <w:i w:val="0"/>
          <w:iCs w:val="0"/>
          <w:caps w:val="0"/>
          <w:color w:val="333333"/>
          <w:spacing w:val="0"/>
          <w:kern w:val="0"/>
          <w:sz w:val="32"/>
          <w:szCs w:val="32"/>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333333"/>
          <w:spacing w:val="0"/>
          <w:kern w:val="0"/>
          <w:sz w:val="32"/>
          <w:szCs w:val="32"/>
          <w:u w:val="none"/>
          <w:bdr w:val="none" w:color="auto" w:sz="0" w:space="0"/>
          <w:shd w:val="clear" w:fill="FFFFFF"/>
          <w:lang w:val="en-US" w:eastAsia="zh-CN" w:bidi="ar"/>
        </w:rPr>
        <w:instrText xml:space="preserve"> HYPERLINK "https://www.ahjinzhai.gov.cn/public/content/35846671" </w:instrText>
      </w:r>
      <w:r>
        <w:rPr>
          <w:rFonts w:hint="eastAsia" w:ascii="微软雅黑" w:hAnsi="微软雅黑" w:eastAsia="微软雅黑" w:cs="微软雅黑"/>
          <w:i w:val="0"/>
          <w:iCs w:val="0"/>
          <w:caps w:val="0"/>
          <w:color w:val="333333"/>
          <w:spacing w:val="0"/>
          <w:kern w:val="0"/>
          <w:sz w:val="32"/>
          <w:szCs w:val="32"/>
          <w:u w:val="none"/>
          <w:bdr w:val="none" w:color="auto" w:sz="0" w:space="0"/>
          <w:shd w:val="clear" w:fill="FFFFFF"/>
          <w:lang w:val="en-US" w:eastAsia="zh-CN" w:bidi="ar"/>
        </w:rPr>
        <w:fldChar w:fldCharType="separate"/>
      </w:r>
      <w:r>
        <w:rPr>
          <w:rStyle w:val="5"/>
          <w:rFonts w:hint="eastAsia" w:ascii="仿宋_GB2312" w:hAnsi="微软雅黑" w:eastAsia="仿宋_GB2312" w:cs="仿宋_GB2312"/>
          <w:i w:val="0"/>
          <w:iCs w:val="0"/>
          <w:caps w:val="0"/>
          <w:color w:val="282E2E"/>
          <w:spacing w:val="0"/>
          <w:sz w:val="32"/>
          <w:szCs w:val="32"/>
          <w:u w:val="none"/>
          <w:bdr w:val="none" w:color="auto" w:sz="0" w:space="0"/>
          <w:shd w:val="clear" w:fill="FFFFFF"/>
        </w:rPr>
        <w:t>季度市、县测评反馈问题，及时将整改情况形成具体报告</w:t>
      </w:r>
      <w:r>
        <w:rPr>
          <w:rFonts w:hint="eastAsia" w:ascii="微软雅黑" w:hAnsi="微软雅黑" w:eastAsia="微软雅黑" w:cs="微软雅黑"/>
          <w:i w:val="0"/>
          <w:iCs w:val="0"/>
          <w:caps w:val="0"/>
          <w:color w:val="333333"/>
          <w:spacing w:val="0"/>
          <w:kern w:val="0"/>
          <w:sz w:val="32"/>
          <w:szCs w:val="32"/>
          <w:u w:val="none"/>
          <w:bdr w:val="none" w:color="auto" w:sz="0" w:space="0"/>
          <w:shd w:val="clear" w:fill="FFFFFF"/>
          <w:lang w:val="en-US" w:eastAsia="zh-CN" w:bidi="ar"/>
        </w:rPr>
        <w:fldChar w:fldCharType="end"/>
      </w:r>
      <w:r>
        <w:rPr>
          <w:rFonts w:hint="eastAsia" w:ascii="仿宋_GB2312" w:hAnsi="微软雅黑" w:eastAsia="仿宋_GB2312" w:cs="仿宋_GB2312"/>
          <w:i w:val="0"/>
          <w:iCs w:val="0"/>
          <w:caps w:val="0"/>
          <w:color w:val="282E2E"/>
          <w:spacing w:val="0"/>
          <w:kern w:val="0"/>
          <w:sz w:val="32"/>
          <w:szCs w:val="32"/>
          <w:bdr w:val="none" w:color="auto" w:sz="0" w:space="0"/>
          <w:shd w:val="clear" w:fill="FFFFFF"/>
          <w:lang w:val="en-US" w:eastAsia="zh-CN" w:bidi="ar"/>
        </w:rPr>
        <w:t>发布。2020年度我镇社会评议良好，未产生责任追究相关问题和结果。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Times New Roman" w:eastAsia="仿宋_GB2312" w:cs="仿宋_GB2312"/>
          <w:b/>
          <w:bCs/>
          <w:i w:val="0"/>
          <w:iCs w:val="0"/>
          <w:caps w:val="0"/>
          <w:color w:val="333333"/>
          <w:spacing w:val="0"/>
          <w:kern w:val="0"/>
          <w:sz w:val="32"/>
          <w:szCs w:val="32"/>
          <w:bdr w:val="none" w:color="auto" w:sz="0" w:space="0"/>
          <w:shd w:val="clear" w:fill="FFFFFF"/>
          <w:lang w:val="en-US" w:eastAsia="zh-CN" w:bidi="ar"/>
        </w:rPr>
        <w:t>    二、主动公开政府信息情况</w:t>
      </w:r>
    </w:p>
    <w:tbl>
      <w:tblPr>
        <w:tblW w:w="8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113"/>
        <w:gridCol w:w="1875"/>
        <w:gridCol w:w="6"/>
        <w:gridCol w:w="1265"/>
        <w:gridCol w:w="18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信息内容</w:t>
            </w:r>
          </w:p>
        </w:tc>
        <w:tc>
          <w:tcPr>
            <w:tcW w:w="187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本年新</w:t>
            </w:r>
            <w:r>
              <w:rPr>
                <w:rFonts w:hint="default" w:ascii="Times New Roman" w:hAnsi="Times New Roman" w:cs="Times New Roman" w:eastAsiaTheme="minorEastAsia"/>
                <w:color w:val="000000"/>
                <w:kern w:val="0"/>
                <w:sz w:val="20"/>
                <w:szCs w:val="20"/>
                <w:bdr w:val="none" w:color="auto" w:sz="0" w:space="0"/>
                <w:lang w:val="en-US" w:eastAsia="zh-CN" w:bidi="ar"/>
              </w:rPr>
              <w:br w:type="textWrapping"/>
            </w:r>
            <w:r>
              <w:rPr>
                <w:rFonts w:hint="default" w:ascii="Times New Roman" w:hAnsi="Times New Roman" w:cs="Times New Roman" w:eastAsiaTheme="minorEastAsia"/>
                <w:kern w:val="0"/>
                <w:sz w:val="20"/>
                <w:szCs w:val="20"/>
                <w:bdr w:val="none" w:color="auto" w:sz="0" w:space="0"/>
                <w:lang w:val="en-US" w:eastAsia="zh-CN" w:bidi="ar"/>
              </w:rPr>
              <w:t>制作数量</w:t>
            </w:r>
          </w:p>
        </w:tc>
        <w:tc>
          <w:tcPr>
            <w:tcW w:w="127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本年新</w:t>
            </w:r>
            <w:r>
              <w:rPr>
                <w:rFonts w:hint="default" w:ascii="Times New Roman" w:hAnsi="Times New Roman" w:cs="Times New Roman" w:eastAsiaTheme="minorEastAsia"/>
                <w:color w:val="000000"/>
                <w:kern w:val="0"/>
                <w:sz w:val="20"/>
                <w:szCs w:val="20"/>
                <w:bdr w:val="none" w:color="auto" w:sz="0" w:space="0"/>
                <w:lang w:val="en-US" w:eastAsia="zh-CN" w:bidi="ar"/>
              </w:rPr>
              <w:br w:type="textWrapping"/>
            </w:r>
            <w:r>
              <w:rPr>
                <w:rFonts w:hint="default" w:ascii="Times New Roman" w:hAnsi="Times New Roman" w:cs="Times New Roman" w:eastAsiaTheme="minorEastAsia"/>
                <w:kern w:val="0"/>
                <w:sz w:val="20"/>
                <w:szCs w:val="20"/>
                <w:bdr w:val="none" w:color="auto" w:sz="0" w:space="0"/>
                <w:lang w:val="en-US" w:eastAsia="zh-CN" w:bidi="ar"/>
              </w:rPr>
              <w:t>公开数量</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规章</w:t>
            </w:r>
          </w:p>
        </w:tc>
        <w:tc>
          <w:tcPr>
            <w:tcW w:w="18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0</w:t>
            </w:r>
          </w:p>
        </w:tc>
        <w:tc>
          <w:tcPr>
            <w:tcW w:w="127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规范性文件</w:t>
            </w:r>
          </w:p>
        </w:tc>
        <w:tc>
          <w:tcPr>
            <w:tcW w:w="18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0</w:t>
            </w:r>
          </w:p>
        </w:tc>
        <w:tc>
          <w:tcPr>
            <w:tcW w:w="127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信息内容</w:t>
            </w:r>
          </w:p>
        </w:tc>
        <w:tc>
          <w:tcPr>
            <w:tcW w:w="187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本年增/</w:t>
            </w:r>
            <w:r>
              <w:rPr>
                <w:rFonts w:hint="eastAsia" w:ascii="仿宋_GB2312" w:hAnsi="Times New Roman" w:eastAsia="仿宋_GB2312" w:cs="仿宋_GB2312"/>
                <w:color w:val="000000"/>
                <w:kern w:val="0"/>
                <w:sz w:val="20"/>
                <w:szCs w:val="20"/>
                <w:bdr w:val="none" w:color="auto" w:sz="0" w:space="0"/>
                <w:lang w:val="en-US" w:eastAsia="zh-CN" w:bidi="ar"/>
              </w:rPr>
              <w:t>减</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行政许可</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5</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-5</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63"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其他对外管理服务事项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148</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139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信息内容</w:t>
            </w:r>
          </w:p>
        </w:tc>
        <w:tc>
          <w:tcPr>
            <w:tcW w:w="187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本年增/</w:t>
            </w:r>
            <w:r>
              <w:rPr>
                <w:rFonts w:hint="eastAsia" w:ascii="仿宋_GB2312" w:hAnsi="Times New Roman" w:eastAsia="仿宋_GB2312" w:cs="仿宋_GB2312"/>
                <w:color w:val="000000"/>
                <w:kern w:val="0"/>
                <w:sz w:val="20"/>
                <w:szCs w:val="20"/>
                <w:bdr w:val="none" w:color="auto" w:sz="0" w:space="0"/>
                <w:lang w:val="en-US" w:eastAsia="zh-CN" w:bidi="ar"/>
              </w:rPr>
              <w:t>减</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行政处罚</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仿宋_GB2312" w:eastAsia="仿宋_GB2312" w:cs="仿宋_GB2312" w:hAnsiTheme="minorHAnsi"/>
                <w:kern w:val="0"/>
                <w:sz w:val="20"/>
                <w:szCs w:val="20"/>
                <w:bdr w:val="none" w:color="auto" w:sz="0" w:space="0"/>
                <w:lang w:val="en-US" w:eastAsia="zh-CN" w:bidi="ar"/>
              </w:rPr>
              <w:t>5</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仿宋_GB2312" w:eastAsia="仿宋_GB2312" w:cs="仿宋_GB2312" w:hAnsiTheme="minorHAnsi"/>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仿宋_GB2312" w:eastAsia="仿宋_GB2312" w:cs="仿宋_GB2312" w:hAnsiTheme="minorHAnsi"/>
                <w:kern w:val="0"/>
                <w:sz w:val="20"/>
                <w:szCs w:val="20"/>
                <w:bdr w:val="none" w:color="auto" w:sz="0" w:space="0"/>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行政强制</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6</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-6</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信息内容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上一年项目数量</w:t>
            </w:r>
          </w:p>
        </w:tc>
        <w:tc>
          <w:tcPr>
            <w:tcW w:w="3146"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本年增/</w:t>
            </w:r>
            <w:r>
              <w:rPr>
                <w:rFonts w:hint="eastAsia" w:ascii="仿宋_GB2312" w:hAnsi="Times New Roman" w:eastAsia="仿宋_GB2312" w:cs="仿宋_GB2312"/>
                <w:color w:val="000000"/>
                <w:kern w:val="0"/>
                <w:sz w:val="20"/>
                <w:szCs w:val="20"/>
                <w:bdr w:val="none" w:color="auto" w:sz="0" w:space="0"/>
                <w:lang w:val="en-US" w:eastAsia="zh-CN" w:bidi="ar"/>
              </w:rPr>
              <w:t>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行政事业性收费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仿宋_GB2312" w:eastAsia="仿宋_GB2312" w:cs="仿宋_GB2312" w:hAnsiTheme="minorHAnsi"/>
                <w:kern w:val="0"/>
                <w:sz w:val="24"/>
                <w:szCs w:val="24"/>
                <w:bdr w:val="none" w:color="auto" w:sz="0" w:space="0"/>
                <w:lang w:val="en-US" w:eastAsia="zh-CN" w:bidi="ar"/>
              </w:rPr>
              <w:t>2</w:t>
            </w:r>
          </w:p>
        </w:tc>
        <w:tc>
          <w:tcPr>
            <w:tcW w:w="3146"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仿宋_GB2312" w:eastAsia="仿宋_GB2312" w:cs="仿宋_GB2312" w:hAnsiTheme="minorHAnsi"/>
                <w:color w:val="000000"/>
                <w:kern w:val="0"/>
                <w:sz w:val="20"/>
                <w:szCs w:val="20"/>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信息内容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采购项目数量</w:t>
            </w:r>
          </w:p>
        </w:tc>
        <w:tc>
          <w:tcPr>
            <w:tcW w:w="3146"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政府集中采购</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157</w:t>
            </w:r>
          </w:p>
        </w:tc>
        <w:tc>
          <w:tcPr>
            <w:tcW w:w="3146"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4"/>
                <w:szCs w:val="24"/>
                <w:bdr w:val="none" w:color="auto" w:sz="0" w:space="0"/>
                <w:lang w:val="en-US" w:eastAsia="zh-CN" w:bidi="ar"/>
              </w:rPr>
              <w:t>369.841万元</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微软雅黑" w:cs="Times New Roman"/>
          <w:i w:val="0"/>
          <w:iCs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32"/>
          <w:szCs w:val="32"/>
        </w:rPr>
      </w:pPr>
      <w:r>
        <w:rPr>
          <w:rFonts w:hint="eastAsia" w:ascii="仿宋_GB2312" w:hAnsi="Times New Roman" w:eastAsia="仿宋_GB2312" w:cs="仿宋_GB2312"/>
          <w:b/>
          <w:bCs/>
          <w:i w:val="0"/>
          <w:iCs w:val="0"/>
          <w:caps w:val="0"/>
          <w:color w:val="333333"/>
          <w:spacing w:val="0"/>
          <w:kern w:val="0"/>
          <w:sz w:val="32"/>
          <w:szCs w:val="32"/>
          <w:bdr w:val="none" w:color="auto" w:sz="0" w:space="0"/>
          <w:shd w:val="clear" w:fill="FFFFFF"/>
          <w:lang w:val="en-US" w:eastAsia="zh-CN" w:bidi="ar"/>
        </w:rPr>
        <w:t>三、收到和处理政府信息公开申请情况</w:t>
      </w:r>
    </w:p>
    <w:tbl>
      <w:tblPr>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17"/>
        <w:gridCol w:w="854"/>
        <w:gridCol w:w="2300"/>
        <w:gridCol w:w="599"/>
        <w:gridCol w:w="755"/>
        <w:gridCol w:w="755"/>
        <w:gridCol w:w="813"/>
        <w:gridCol w:w="973"/>
        <w:gridCol w:w="578"/>
        <w:gridCol w:w="8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86" w:hRule="atLeast"/>
          <w:jc w:val="center"/>
        </w:trPr>
        <w:tc>
          <w:tcPr>
            <w:tcW w:w="3771" w:type="dxa"/>
            <w:gridSpan w:val="3"/>
            <w:vMerge w:val="restart"/>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（本列数据的勾稽关系为：第一项加第二项之和，等于第三项加第四项之和）</w:t>
            </w:r>
          </w:p>
        </w:tc>
        <w:tc>
          <w:tcPr>
            <w:tcW w:w="5300" w:type="dxa"/>
            <w:gridSpan w:val="7"/>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6" w:hRule="atLeast"/>
          <w:jc w:val="center"/>
        </w:trPr>
        <w:tc>
          <w:tcPr>
            <w:tcW w:w="3771" w:type="dxa"/>
            <w:gridSpan w:val="3"/>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599"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自然人</w:t>
            </w:r>
          </w:p>
        </w:tc>
        <w:tc>
          <w:tcPr>
            <w:tcW w:w="3874"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法人或其他组织</w:t>
            </w:r>
          </w:p>
        </w:tc>
        <w:tc>
          <w:tcPr>
            <w:tcW w:w="827"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jc w:val="center"/>
        </w:trPr>
        <w:tc>
          <w:tcPr>
            <w:tcW w:w="3771" w:type="dxa"/>
            <w:gridSpan w:val="3"/>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599"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商业企业</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科研机构</w:t>
            </w:r>
          </w:p>
        </w:tc>
        <w:tc>
          <w:tcPr>
            <w:tcW w:w="81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社会公益组织</w:t>
            </w:r>
          </w:p>
        </w:tc>
        <w:tc>
          <w:tcPr>
            <w:tcW w:w="97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法律服务机构</w:t>
            </w:r>
          </w:p>
        </w:tc>
        <w:tc>
          <w:tcPr>
            <w:tcW w:w="57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其他</w:t>
            </w:r>
          </w:p>
        </w:tc>
        <w:tc>
          <w:tcPr>
            <w:tcW w:w="827"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6" w:hRule="atLeast"/>
          <w:jc w:val="center"/>
        </w:trPr>
        <w:tc>
          <w:tcPr>
            <w:tcW w:w="3771"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一、本年新收政府信息公开申请数量</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6" w:hRule="atLeast"/>
          <w:jc w:val="center"/>
        </w:trPr>
        <w:tc>
          <w:tcPr>
            <w:tcW w:w="3771"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二、上年结转政府信息公开申请数量</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6" w:hRule="atLeast"/>
          <w:jc w:val="center"/>
        </w:trPr>
        <w:tc>
          <w:tcPr>
            <w:tcW w:w="617"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三、本年度办理结果</w:t>
            </w: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（一）予以公开</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95"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（二）部分公开（区分处理的，只计这一情形，不计其他情形）</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（三）不予公开</w:t>
            </w: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1.</w:t>
            </w:r>
            <w:r>
              <w:rPr>
                <w:rFonts w:ascii="楷体" w:hAnsi="楷体" w:eastAsia="楷体" w:cs="楷体"/>
                <w:kern w:val="0"/>
                <w:sz w:val="20"/>
                <w:szCs w:val="20"/>
                <w:bdr w:val="none" w:color="auto" w:sz="0" w:space="0"/>
                <w:lang w:val="en-US" w:eastAsia="zh-CN" w:bidi="ar"/>
              </w:rPr>
              <w:t>属于国家秘密</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2.</w:t>
            </w:r>
            <w:r>
              <w:rPr>
                <w:rFonts w:hint="eastAsia" w:ascii="楷体" w:hAnsi="楷体" w:eastAsia="楷体" w:cs="楷体"/>
                <w:kern w:val="0"/>
                <w:sz w:val="20"/>
                <w:szCs w:val="20"/>
                <w:bdr w:val="none" w:color="auto" w:sz="0" w:space="0"/>
                <w:lang w:val="en-US" w:eastAsia="zh-CN" w:bidi="ar"/>
              </w:rPr>
              <w:t>其他法律行政法规禁止公开</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3.</w:t>
            </w:r>
            <w:r>
              <w:rPr>
                <w:rFonts w:hint="eastAsia" w:ascii="楷体" w:hAnsi="楷体" w:eastAsia="楷体" w:cs="楷体"/>
                <w:kern w:val="0"/>
                <w:sz w:val="20"/>
                <w:szCs w:val="20"/>
                <w:bdr w:val="none" w:color="auto" w:sz="0" w:space="0"/>
                <w:lang w:val="en-US" w:eastAsia="zh-CN" w:bidi="ar"/>
              </w:rPr>
              <w:t>危及</w:t>
            </w:r>
            <w:r>
              <w:rPr>
                <w:rFonts w:hint="default" w:ascii="Times New Roman" w:hAnsi="Times New Roman" w:cs="Times New Roman" w:eastAsiaTheme="minorEastAsia"/>
                <w:kern w:val="0"/>
                <w:sz w:val="20"/>
                <w:szCs w:val="20"/>
                <w:bdr w:val="none" w:color="auto" w:sz="0" w:space="0"/>
                <w:lang w:val="en-US" w:eastAsia="zh-CN" w:bidi="ar"/>
              </w:rPr>
              <w:t>“</w:t>
            </w:r>
            <w:r>
              <w:rPr>
                <w:rFonts w:hint="eastAsia" w:ascii="楷体" w:hAnsi="楷体" w:eastAsia="楷体" w:cs="楷体"/>
                <w:kern w:val="0"/>
                <w:sz w:val="20"/>
                <w:szCs w:val="20"/>
                <w:bdr w:val="none" w:color="auto" w:sz="0" w:space="0"/>
                <w:lang w:val="en-US" w:eastAsia="zh-CN" w:bidi="ar"/>
              </w:rPr>
              <w:t>三安全一稳定</w:t>
            </w:r>
            <w:r>
              <w:rPr>
                <w:rFonts w:hint="default" w:ascii="Times New Roman" w:hAnsi="Times New Roman" w:cs="Times New Roman" w:eastAsiaTheme="minorEastAsia"/>
                <w:kern w:val="0"/>
                <w:sz w:val="20"/>
                <w:szCs w:val="20"/>
                <w:bdr w:val="none" w:color="auto" w:sz="0" w:space="0"/>
                <w:lang w:val="en-US" w:eastAsia="zh-CN" w:bidi="ar"/>
              </w:rPr>
              <w:t>”</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4.</w:t>
            </w:r>
            <w:r>
              <w:rPr>
                <w:rFonts w:hint="eastAsia" w:ascii="楷体" w:hAnsi="楷体" w:eastAsia="楷体" w:cs="楷体"/>
                <w:kern w:val="0"/>
                <w:sz w:val="20"/>
                <w:szCs w:val="20"/>
                <w:bdr w:val="none" w:color="auto" w:sz="0" w:space="0"/>
                <w:lang w:val="en-US" w:eastAsia="zh-CN" w:bidi="ar"/>
              </w:rPr>
              <w:t>保护第三方合法权益</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5.</w:t>
            </w:r>
            <w:r>
              <w:rPr>
                <w:rFonts w:hint="eastAsia" w:ascii="楷体" w:hAnsi="楷体" w:eastAsia="楷体" w:cs="楷体"/>
                <w:kern w:val="0"/>
                <w:sz w:val="20"/>
                <w:szCs w:val="20"/>
                <w:bdr w:val="none" w:color="auto" w:sz="0" w:space="0"/>
                <w:lang w:val="en-US" w:eastAsia="zh-CN" w:bidi="ar"/>
              </w:rPr>
              <w:t>属于三类内部事务信息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6.</w:t>
            </w:r>
            <w:r>
              <w:rPr>
                <w:rFonts w:hint="eastAsia" w:ascii="楷体" w:hAnsi="楷体" w:eastAsia="楷体" w:cs="楷体"/>
                <w:kern w:val="0"/>
                <w:sz w:val="20"/>
                <w:szCs w:val="20"/>
                <w:bdr w:val="none" w:color="auto" w:sz="0" w:space="0"/>
                <w:lang w:val="en-US" w:eastAsia="zh-CN" w:bidi="ar"/>
              </w:rPr>
              <w:t>属于四类过程性信息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7.</w:t>
            </w:r>
            <w:r>
              <w:rPr>
                <w:rFonts w:hint="eastAsia" w:ascii="楷体" w:hAnsi="楷体" w:eastAsia="楷体" w:cs="楷体"/>
                <w:kern w:val="0"/>
                <w:sz w:val="20"/>
                <w:szCs w:val="20"/>
                <w:bdr w:val="none" w:color="auto" w:sz="0" w:space="0"/>
                <w:lang w:val="en-US" w:eastAsia="zh-CN" w:bidi="ar"/>
              </w:rPr>
              <w:t>属于行政执法案卷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8.</w:t>
            </w:r>
            <w:r>
              <w:rPr>
                <w:rFonts w:hint="eastAsia" w:ascii="楷体" w:hAnsi="楷体" w:eastAsia="楷体" w:cs="楷体"/>
                <w:kern w:val="0"/>
                <w:sz w:val="20"/>
                <w:szCs w:val="20"/>
                <w:bdr w:val="none" w:color="auto" w:sz="0" w:space="0"/>
                <w:lang w:val="en-US" w:eastAsia="zh-CN" w:bidi="ar"/>
              </w:rPr>
              <w:t>属于行政查询事项</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（四）无法提供</w:t>
            </w: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1.</w:t>
            </w:r>
            <w:r>
              <w:rPr>
                <w:rFonts w:hint="eastAsia" w:ascii="楷体" w:hAnsi="楷体" w:eastAsia="楷体" w:cs="楷体"/>
                <w:kern w:val="0"/>
                <w:sz w:val="20"/>
                <w:szCs w:val="20"/>
                <w:bdr w:val="none" w:color="auto" w:sz="0" w:space="0"/>
                <w:lang w:val="en-US" w:eastAsia="zh-CN" w:bidi="ar"/>
              </w:rPr>
              <w:t>本机关不掌握相关政府信息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2.</w:t>
            </w:r>
            <w:r>
              <w:rPr>
                <w:rFonts w:hint="eastAsia" w:ascii="楷体" w:hAnsi="楷体" w:eastAsia="楷体" w:cs="楷体"/>
                <w:kern w:val="0"/>
                <w:sz w:val="20"/>
                <w:szCs w:val="20"/>
                <w:bdr w:val="none" w:color="auto" w:sz="0" w:space="0"/>
                <w:lang w:val="en-US" w:eastAsia="zh-CN" w:bidi="ar"/>
              </w:rPr>
              <w:t>没有现成信息需要另行制作</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3.</w:t>
            </w:r>
            <w:r>
              <w:rPr>
                <w:rFonts w:hint="eastAsia" w:ascii="楷体" w:hAnsi="楷体" w:eastAsia="楷体" w:cs="楷体"/>
                <w:kern w:val="0"/>
                <w:sz w:val="20"/>
                <w:szCs w:val="20"/>
                <w:bdr w:val="none" w:color="auto" w:sz="0" w:space="0"/>
                <w:lang w:val="en-US" w:eastAsia="zh-CN" w:bidi="ar"/>
              </w:rPr>
              <w:t>补正后申请内容仍不明确</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（五）不予处理</w:t>
            </w: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1.</w:t>
            </w:r>
            <w:r>
              <w:rPr>
                <w:rFonts w:hint="eastAsia" w:ascii="楷体" w:hAnsi="楷体" w:eastAsia="楷体" w:cs="楷体"/>
                <w:kern w:val="0"/>
                <w:sz w:val="20"/>
                <w:szCs w:val="20"/>
                <w:bdr w:val="none" w:color="auto" w:sz="0" w:space="0"/>
                <w:lang w:val="en-US" w:eastAsia="zh-CN" w:bidi="ar"/>
              </w:rPr>
              <w:t>信访举报投诉类申请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6"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2.</w:t>
            </w:r>
            <w:r>
              <w:rPr>
                <w:rFonts w:hint="eastAsia" w:ascii="楷体" w:hAnsi="楷体" w:eastAsia="楷体" w:cs="楷体"/>
                <w:kern w:val="0"/>
                <w:sz w:val="20"/>
                <w:szCs w:val="20"/>
                <w:bdr w:val="none" w:color="auto" w:sz="0" w:space="0"/>
                <w:lang w:val="en-US" w:eastAsia="zh-CN" w:bidi="ar"/>
              </w:rPr>
              <w:t>重复申请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3.</w:t>
            </w:r>
            <w:r>
              <w:rPr>
                <w:rFonts w:hint="eastAsia" w:ascii="楷体" w:hAnsi="楷体" w:eastAsia="楷体" w:cs="楷体"/>
                <w:kern w:val="0"/>
                <w:sz w:val="20"/>
                <w:szCs w:val="20"/>
                <w:bdr w:val="none" w:color="auto" w:sz="0" w:space="0"/>
                <w:lang w:val="en-US" w:eastAsia="zh-CN" w:bidi="ar"/>
              </w:rPr>
              <w:t>要求提供公开出版物</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4.</w:t>
            </w:r>
            <w:r>
              <w:rPr>
                <w:rFonts w:hint="eastAsia" w:ascii="楷体" w:hAnsi="楷体" w:eastAsia="楷体" w:cs="楷体"/>
                <w:kern w:val="0"/>
                <w:sz w:val="20"/>
                <w:szCs w:val="20"/>
                <w:bdr w:val="none" w:color="auto" w:sz="0" w:space="0"/>
                <w:lang w:val="en-US" w:eastAsia="zh-CN" w:bidi="ar"/>
              </w:rPr>
              <w:t>无正当理由大量反复申请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05"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5.</w:t>
            </w:r>
            <w:r>
              <w:rPr>
                <w:rFonts w:hint="eastAsia" w:ascii="楷体" w:hAnsi="楷体" w:eastAsia="楷体" w:cs="楷体"/>
                <w:kern w:val="0"/>
                <w:sz w:val="20"/>
                <w:szCs w:val="20"/>
                <w:bdr w:val="none" w:color="auto" w:sz="0" w:space="0"/>
                <w:lang w:val="en-US" w:eastAsia="zh-CN" w:bidi="ar"/>
              </w:rPr>
              <w:t>要求行政机关确认或重新出具已获取信息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6"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（六）其他处理</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6" w:hRule="atLeast"/>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（七）总计</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6" w:hRule="atLeast"/>
          <w:jc w:val="center"/>
        </w:trPr>
        <w:tc>
          <w:tcPr>
            <w:tcW w:w="3771"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四、结转下年度继续办理</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0</w:t>
            </w:r>
          </w:p>
        </w:tc>
        <w:tc>
          <w:tcPr>
            <w:tcW w:w="8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4"/>
                <w:szCs w:val="24"/>
                <w:bdr w:val="none" w:color="auto" w:sz="0" w:space="0"/>
                <w:lang w:val="en-US" w:eastAsia="zh-CN" w:bidi="ar"/>
              </w:rPr>
              <w:t> 0</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微软雅黑" w:cs="Times New Roman"/>
          <w:b/>
          <w:bCs/>
          <w:i w:val="0"/>
          <w:iCs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333333"/>
          <w:spacing w:val="0"/>
          <w:sz w:val="32"/>
          <w:szCs w:val="32"/>
        </w:rPr>
      </w:pPr>
      <w:r>
        <w:rPr>
          <w:rFonts w:hint="eastAsia" w:ascii="仿宋_GB2312" w:hAnsi="Times New Roman" w:eastAsia="仿宋_GB2312" w:cs="仿宋_GB2312"/>
          <w:b/>
          <w:bCs/>
          <w:i w:val="0"/>
          <w:iCs w:val="0"/>
          <w:caps w:val="0"/>
          <w:color w:val="333333"/>
          <w:spacing w:val="0"/>
          <w:kern w:val="0"/>
          <w:sz w:val="32"/>
          <w:szCs w:val="32"/>
          <w:bdr w:val="none" w:color="auto" w:sz="0" w:space="0"/>
          <w:shd w:val="clear" w:fill="FFFFFF"/>
          <w:lang w:val="en-US" w:eastAsia="zh-CN" w:bidi="ar"/>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微软雅黑" w:cs="Times New Roman"/>
          <w:i w:val="0"/>
          <w:iCs w:val="0"/>
          <w:caps w:val="0"/>
          <w:color w:val="333333"/>
          <w:spacing w:val="0"/>
          <w:kern w:val="0"/>
          <w:sz w:val="24"/>
          <w:szCs w:val="24"/>
          <w:bdr w:val="none" w:color="auto" w:sz="0" w:space="0"/>
          <w:shd w:val="clear" w:fill="FFFFFF"/>
          <w:lang w:val="en-US" w:eastAsia="zh-CN" w:bidi="ar"/>
        </w:rPr>
        <w:t> </w:t>
      </w:r>
    </w:p>
    <w:tbl>
      <w:tblPr>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结果维持</w:t>
            </w:r>
          </w:p>
        </w:tc>
        <w:tc>
          <w:tcPr>
            <w:tcW w:w="60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658"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24"/>
                <w:szCs w:val="24"/>
              </w:rPr>
            </w:pPr>
          </w:p>
        </w:tc>
        <w:tc>
          <w:tcPr>
            <w:tcW w:w="55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结果维持</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结果纠正</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其他结果</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尚未审结</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总计</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结果维持</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结果纠正</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其他结果</w:t>
            </w:r>
          </w:p>
        </w:tc>
        <w:tc>
          <w:tcPr>
            <w:tcW w:w="60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尚未审结</w:t>
            </w:r>
          </w:p>
        </w:tc>
        <w:tc>
          <w:tcPr>
            <w:tcW w:w="60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55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0</w:t>
            </w:r>
          </w:p>
        </w:tc>
        <w:tc>
          <w:tcPr>
            <w:tcW w:w="60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Times New Roman" w:hAnsi="Times New Roman" w:cs="Times New Roman" w:eastAsiaTheme="minorEastAsia"/>
                <w:kern w:val="0"/>
                <w:sz w:val="20"/>
                <w:szCs w:val="20"/>
                <w:bdr w:val="none" w:color="auto" w:sz="0" w:space="0"/>
                <w:lang w:val="en-US" w:eastAsia="zh-CN" w:bidi="ar"/>
              </w:rPr>
              <w:t> </w:t>
            </w:r>
            <w:r>
              <w:rPr>
                <w:rFonts w:hint="eastAsia" w:ascii="宋体" w:hAnsi="宋体" w:eastAsia="宋体" w:cs="宋体"/>
                <w:kern w:val="0"/>
                <w:sz w:val="20"/>
                <w:szCs w:val="20"/>
                <w:bdr w:val="none" w:color="auto" w:sz="0" w:space="0"/>
                <w:lang w:val="en-US" w:eastAsia="zh-CN" w:bidi="ar"/>
              </w:rPr>
              <w:t>0</w:t>
            </w:r>
          </w:p>
        </w:tc>
        <w:tc>
          <w:tcPr>
            <w:tcW w:w="60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4"/>
                <w:szCs w:val="24"/>
                <w:bdr w:val="none" w:color="auto" w:sz="0" w:space="0"/>
                <w:lang w:val="en-US" w:eastAsia="zh-CN" w:bidi="ar"/>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微软雅黑" w:cs="Times New Roman"/>
          <w:i w:val="0"/>
          <w:iCs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Times New Roman" w:eastAsia="仿宋_GB2312" w:cs="仿宋_GB2312"/>
          <w:b/>
          <w:bCs/>
          <w:i w:val="0"/>
          <w:iCs w:val="0"/>
          <w:caps w:val="0"/>
          <w:color w:val="333333"/>
          <w:spacing w:val="0"/>
          <w:kern w:val="0"/>
          <w:sz w:val="24"/>
          <w:szCs w:val="24"/>
          <w:bdr w:val="none" w:color="auto" w:sz="0" w:space="0"/>
          <w:shd w:val="clear" w:fill="FFFFFF"/>
          <w:lang w:val="en-US" w:eastAsia="zh-CN" w:bidi="ar"/>
        </w:rPr>
        <w:t>  </w:t>
      </w:r>
      <w:r>
        <w:rPr>
          <w:rFonts w:hint="eastAsia" w:ascii="仿宋_GB2312" w:hAnsi="Times New Roman" w:eastAsia="仿宋_GB2312" w:cs="仿宋_GB2312"/>
          <w:b/>
          <w:bCs/>
          <w:i w:val="0"/>
          <w:iCs w:val="0"/>
          <w:caps w:val="0"/>
          <w:color w:val="333333"/>
          <w:spacing w:val="0"/>
          <w:kern w:val="0"/>
          <w:sz w:val="32"/>
          <w:szCs w:val="32"/>
          <w:bdr w:val="none" w:color="auto" w:sz="0" w:space="0"/>
          <w:shd w:val="clear" w:fill="FFFFFF"/>
          <w:lang w:val="en-US" w:eastAsia="zh-CN" w:bidi="ar"/>
        </w:rPr>
        <w:t>  五、存在的主要问题及改进情况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    1、存在问题:每季度监测质量与去年相比，虽然提升了，但是和其他乡镇相比还存在差距，与上级的要求和领导的期盼还有一定的距离。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    2、改进情况（此项为2020年改进情况）：在今后工作中，我们将进一步规范操作程序，提升工作质量，争先争优，扎扎实实政务公开这件好事办好，缩短与其他乡镇的差距。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 w:hAnsi="仿宋" w:eastAsia="仿宋" w:cs="仿宋"/>
          <w:b/>
          <w:bCs/>
          <w:i w:val="0"/>
          <w:iCs w:val="0"/>
          <w:caps w:val="0"/>
          <w:color w:val="333333"/>
          <w:spacing w:val="0"/>
          <w:kern w:val="0"/>
          <w:sz w:val="32"/>
          <w:szCs w:val="32"/>
          <w:bdr w:val="none" w:color="auto" w:sz="0" w:space="0"/>
          <w:shd w:val="clear" w:fill="FFFFFF"/>
          <w:lang w:val="en-US" w:eastAsia="zh-CN" w:bidi="ar"/>
        </w:rPr>
        <w:t>    六、其他需要报告的事项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方正小标宋_GBK" w:hAnsi="方正小标宋_GBK" w:eastAsia="方正小标宋_GBK" w:cs="方正小标宋_GBK"/>
          <w:sz w:val="32"/>
          <w:szCs w:val="32"/>
        </w:rPr>
      </w:pPr>
      <w:r>
        <w:rPr>
          <w:rFonts w:hint="eastAsia" w:ascii="仿宋_GB2312" w:hAnsi="微软雅黑" w:eastAsia="仿宋_GB2312" w:cs="仿宋_GB2312"/>
          <w:i w:val="0"/>
          <w:iCs w:val="0"/>
          <w:caps w:val="0"/>
          <w:color w:val="333333"/>
          <w:spacing w:val="0"/>
          <w:kern w:val="0"/>
          <w:sz w:val="32"/>
          <w:szCs w:val="32"/>
          <w:bdr w:val="none" w:color="auto" w:sz="0" w:space="0"/>
          <w:shd w:val="clear" w:fill="FFFFFF"/>
          <w:lang w:val="en-US" w:eastAsia="zh-CN" w:bidi="ar"/>
        </w:rPr>
        <w:t>    无。</w:t>
      </w:r>
    </w:p>
    <w:p>
      <w:pPr>
        <w:jc w:val="center"/>
        <w:rPr>
          <w:rFonts w:hint="eastAsia" w:ascii="方正小标宋_GBK" w:hAnsi="方正小标宋_GBK" w:eastAsia="方正小标宋_GBK" w:cs="方正小标宋_GBK"/>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MjI3YTIxMmNjMjE5ZWJkYzUzN2Q4NzVjMjQxNzYifQ=="/>
  </w:docVars>
  <w:rsids>
    <w:rsidRoot w:val="121A1A70"/>
    <w:rsid w:val="121A1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2024-07-02T07:17:00Z</dcterms:created>
  <dc:creator>梦媛蝶恋</dc:creator>
  <cp:lastModifiedBy>梦媛蝶恋</cp:lastModifiedBy>
  <dcterms:modified xsi:type="dcterms:W3CDTF">2024-07-02T07:19:47Z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470D27957E3B4590A181E4C363FF976B_11</vt:lpwstr>
  </property>
</Properties>
</file>