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00" w:firstLineChars="100"/>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金寨县果子园乡人民政府2020年政府</w:t>
      </w:r>
    </w:p>
    <w:p>
      <w:pPr>
        <w:ind w:firstLine="1200" w:firstLineChars="300"/>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信息公开工作年度报告</w:t>
      </w:r>
      <w:bookmarkStart w:id="0" w:name="_GoBack"/>
      <w:bookmarkEnd w:id="0"/>
    </w:p>
    <w:p>
      <w:pPr>
        <w:ind w:firstLine="360" w:firstLineChars="100"/>
        <w:rPr>
          <w:rFonts w:hint="eastAsia" w:ascii="仿宋_GB2312" w:hAnsi="仿宋_GB2312" w:eastAsia="仿宋_GB2312" w:cs="仿宋_GB2312"/>
          <w:sz w:val="36"/>
          <w:szCs w:val="36"/>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kern w:val="0"/>
          <w:sz w:val="24"/>
          <w:szCs w:val="24"/>
          <w:shd w:val="clear" w:fill="FFFFFF"/>
          <w:lang w:val="en-US" w:eastAsia="zh-CN" w:bidi="ar"/>
        </w:rPr>
        <w:t>报告依据《中华人民共和国政府信息公开条例》（国务院令第711号，以下简称新《条例》）、《六安市人民政府办公室关于做好政府信息公开年度报告编制工作的通知》（六政办秘〔2020〕161号）和《金寨县政务公开办公室关于做好2020年度政府信息公开年度报告编制工作的通知》（金政公开〔2021〕2号）要求编制而成。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2020年1月1日至12月31日，报告的电子版可金寨县信息公开网（http://www.ahjinzhai.gov.cn/public/index.html）下载。如对本报告有任何疑问，请与金寨县果子园乡人民政府办公室政务公开办联系（地址：金寨县果子园乡人民政府206室，电话：0564--7643001，邮编：237373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rPr>
      </w:pPr>
      <w:r>
        <w:rPr>
          <w:rFonts w:hint="eastAsia" w:ascii="仿宋_GB2312" w:hAnsi="仿宋_GB2312" w:eastAsia="仿宋_GB2312" w:cs="仿宋_GB2312"/>
          <w:b/>
          <w:bCs/>
          <w:i w:val="0"/>
          <w:iCs w:val="0"/>
          <w:caps w:val="0"/>
          <w:color w:val="333333"/>
          <w:spacing w:val="0"/>
          <w:kern w:val="0"/>
          <w:sz w:val="24"/>
          <w:szCs w:val="24"/>
          <w:shd w:val="clear" w:fill="FFFFFF"/>
          <w:lang w:val="en-US" w:eastAsia="zh-CN" w:bidi="ar"/>
        </w:rPr>
        <w:t>一、总体情况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kern w:val="0"/>
          <w:sz w:val="24"/>
          <w:szCs w:val="24"/>
          <w:shd w:val="clear" w:fill="FFFFFF"/>
          <w:lang w:val="en-US" w:eastAsia="zh-CN" w:bidi="ar"/>
        </w:rPr>
        <w:t>果子园乡人民政府始终对政府信息公开工作保持高度重视，认真贯彻落实《中华人民共和国政府信息公开条例》，严格按照县政府相关文件要求认真做好各项工作，坚持把做好政府信息公开工作列入日常议事日程中，以深入开展政府信息公开工作为基础，以推进行政权力公开透明运行为核心，以全面提升我乡各项工作水平为重点，力求全乡政府信息公开工作取得新的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both"/>
        <w:rPr>
          <w:rFonts w:hint="eastAsia" w:ascii="仿宋_GB2312" w:hAnsi="仿宋_GB2312" w:eastAsia="仿宋_GB2312" w:cs="仿宋_GB2312"/>
        </w:rPr>
      </w:pPr>
      <w:r>
        <w:rPr>
          <w:rFonts w:hint="eastAsia" w:ascii="仿宋_GB2312" w:hAnsi="仿宋_GB2312" w:eastAsia="仿宋_GB2312" w:cs="仿宋_GB2312"/>
          <w:b/>
          <w:bCs/>
          <w:i w:val="0"/>
          <w:iCs w:val="0"/>
          <w:caps w:val="0"/>
          <w:color w:val="333333"/>
          <w:spacing w:val="0"/>
          <w:kern w:val="0"/>
          <w:sz w:val="24"/>
          <w:szCs w:val="24"/>
          <w:shd w:val="clear" w:fill="FFFFFF"/>
          <w:lang w:val="en-US" w:eastAsia="zh-CN" w:bidi="ar"/>
        </w:rPr>
        <w:t>（一）主动公开情况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kern w:val="0"/>
          <w:sz w:val="24"/>
          <w:szCs w:val="24"/>
          <w:shd w:val="clear" w:fill="FFFFFF"/>
          <w:lang w:val="en-US" w:eastAsia="zh-CN" w:bidi="ar"/>
        </w:rPr>
        <w:t>政务公开信息内容多、涉面广，果子园乡政府在公开基本内容的基础上，狠抓三大攻坚战信息、“放管服”改革信息、重点民生领域信息、财政信息，特别是把群众最关心、最需要了解的各项政策解读、惠农补贴、民生工程、危房改造、征地拆迁、民政救济、项目招投标、财政预决算、“三公”经费、政府工作动态、农民宅基地审批等热点、焦点、难点问题作为公开重点。为保障公开信息的准确性和时效性，果子园乡成立了以乡长为组长、各分管领导为副组长、各部门负责人为成员的政务公开领导小组，并将各部门工作人员纳入政务公开办公室，确保各项工作的相关信息能够第一时间公开到政务公开网站上，坚持以让群众找得到、看得懂、记忆深为目标，细化公开内容，坚持需求导向，按照“应公开，尽公开”要求，全面梳理公开事项，积极探索群众满意、操作性强的基层政务公开新路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kern w:val="0"/>
          <w:sz w:val="24"/>
          <w:szCs w:val="24"/>
          <w:shd w:val="clear" w:fill="FFFFFF"/>
          <w:lang w:val="en-US" w:eastAsia="zh-CN" w:bidi="ar"/>
        </w:rPr>
        <w:t>2020年度，果子园乡在政务公开网站主动公开政府信息1844条，在全面推进基层政务公开标准化、规范化专题中公开政府信息5872条，其中重大决策预公开14条，政府会议30条，年度重点工作任务分解、执行及落实情况45条，经济和社会发展统计信息28条，人事任免、招录相关信息25条，年度财政预决算信息21条，“三公”经费情况16条，债权债务26条，财政专项资金管理和使用情况564条，应急管理相关信息66条，精准脱贫相关信息94条，社会保障和社会救助相关信息276条，政策解读40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both"/>
        <w:rPr>
          <w:rFonts w:hint="eastAsia" w:ascii="仿宋_GB2312" w:hAnsi="仿宋_GB2312" w:eastAsia="仿宋_GB2312" w:cs="仿宋_GB2312"/>
        </w:rPr>
      </w:pPr>
      <w:r>
        <w:rPr>
          <w:rFonts w:hint="eastAsia" w:ascii="仿宋_GB2312" w:hAnsi="仿宋_GB2312" w:eastAsia="仿宋_GB2312" w:cs="仿宋_GB2312"/>
          <w:b/>
          <w:bCs/>
          <w:i w:val="0"/>
          <w:iCs w:val="0"/>
          <w:caps w:val="0"/>
          <w:color w:val="333333"/>
          <w:spacing w:val="0"/>
          <w:kern w:val="0"/>
          <w:sz w:val="24"/>
          <w:szCs w:val="24"/>
          <w:shd w:val="clear" w:fill="FFFFFF"/>
          <w:lang w:val="en-US" w:eastAsia="zh-CN" w:bidi="ar"/>
        </w:rPr>
        <w:t>（二）依申请公开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kern w:val="0"/>
          <w:sz w:val="24"/>
          <w:szCs w:val="24"/>
          <w:shd w:val="clear" w:fill="FFFFFF"/>
          <w:lang w:val="en-US" w:eastAsia="zh-CN" w:bidi="ar"/>
        </w:rPr>
        <w:t>果子园乡政府严格按照依申请公开制度，依托县政府网站依申请公开在线申请栏目，积极完善依申请公开流程，并设立依申请公开热线：7643001，确保群众方便快捷的进行申请。2020年度，果子园乡未收相关申请，没有依申请公开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both"/>
        <w:rPr>
          <w:rFonts w:hint="eastAsia" w:ascii="仿宋_GB2312" w:hAnsi="仿宋_GB2312" w:eastAsia="仿宋_GB2312" w:cs="仿宋_GB2312"/>
        </w:rPr>
      </w:pPr>
      <w:r>
        <w:rPr>
          <w:rFonts w:hint="eastAsia" w:ascii="仿宋_GB2312" w:hAnsi="仿宋_GB2312" w:eastAsia="仿宋_GB2312" w:cs="仿宋_GB2312"/>
          <w:b/>
          <w:bCs/>
          <w:i w:val="0"/>
          <w:iCs w:val="0"/>
          <w:caps w:val="0"/>
          <w:color w:val="333333"/>
          <w:spacing w:val="0"/>
          <w:kern w:val="0"/>
          <w:sz w:val="24"/>
          <w:szCs w:val="24"/>
          <w:shd w:val="clear" w:fill="FFFFFF"/>
          <w:lang w:val="en-US" w:eastAsia="zh-CN" w:bidi="ar"/>
        </w:rPr>
        <w:t>（三）政府信息管理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kern w:val="0"/>
          <w:sz w:val="24"/>
          <w:szCs w:val="24"/>
          <w:shd w:val="clear" w:fill="FFFFFF"/>
          <w:lang w:val="en-US" w:eastAsia="zh-CN" w:bidi="ar"/>
        </w:rPr>
        <w:t>根据县统一安排，积极做好政府信息管理工作，建立健全了信息公开制度、信息公开指南、信息公开目录及编制信息公开流程图，确保公开规范、及时、到位，根据人员变动情况，及时调整了乡政务公开领导小组及办公室人员，保障政务公开工作有专人抓、有专人管、有专人办，严格按照经办人为发布员整理上传信息，分管领导为审核员对上传的信息进行审核发布的程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both"/>
        <w:rPr>
          <w:rFonts w:hint="eastAsia" w:ascii="仿宋_GB2312" w:hAnsi="仿宋_GB2312" w:eastAsia="仿宋_GB2312" w:cs="仿宋_GB2312"/>
        </w:rPr>
      </w:pPr>
      <w:r>
        <w:rPr>
          <w:rFonts w:hint="eastAsia" w:ascii="仿宋_GB2312" w:hAnsi="仿宋_GB2312" w:eastAsia="仿宋_GB2312" w:cs="仿宋_GB2312"/>
          <w:b/>
          <w:bCs/>
          <w:i w:val="0"/>
          <w:iCs w:val="0"/>
          <w:caps w:val="0"/>
          <w:color w:val="333333"/>
          <w:spacing w:val="0"/>
          <w:kern w:val="0"/>
          <w:sz w:val="24"/>
          <w:szCs w:val="24"/>
          <w:shd w:val="clear" w:fill="FFFFFF"/>
          <w:lang w:val="en-US" w:eastAsia="zh-CN" w:bidi="ar"/>
        </w:rPr>
        <w:t>（四）平台建设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kern w:val="0"/>
          <w:sz w:val="24"/>
          <w:szCs w:val="24"/>
          <w:shd w:val="clear" w:fill="FFFFFF"/>
          <w:lang w:val="en-US" w:eastAsia="zh-CN" w:bidi="ar"/>
        </w:rPr>
        <w:t>进一步完善乡村两级政务外网建设，乡、村服务大厅达到“十有”建设标准，强化政务服务，促进政策公开，积极打造为民服务体系建设。编制了乡镇行为职权目录，公开乡政府权力清单和责任清单目录153项，村级权力清单和责任清单目录67项，明确了行使职权。严格按要求完成政府网站集约化管理平台信息公开目录调整任务，积极推进政务公开标准化、规范化专题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both"/>
        <w:rPr>
          <w:rFonts w:hint="eastAsia" w:ascii="仿宋_GB2312" w:hAnsi="仿宋_GB2312" w:eastAsia="仿宋_GB2312" w:cs="仿宋_GB2312"/>
        </w:rPr>
      </w:pPr>
      <w:r>
        <w:rPr>
          <w:rFonts w:hint="eastAsia" w:ascii="仿宋_GB2312" w:hAnsi="仿宋_GB2312" w:eastAsia="仿宋_GB2312" w:cs="仿宋_GB2312"/>
          <w:b/>
          <w:bCs/>
          <w:i w:val="0"/>
          <w:iCs w:val="0"/>
          <w:caps w:val="0"/>
          <w:color w:val="333333"/>
          <w:spacing w:val="0"/>
          <w:kern w:val="0"/>
          <w:sz w:val="24"/>
          <w:szCs w:val="24"/>
          <w:shd w:val="clear" w:fill="FFFFFF"/>
          <w:lang w:val="en-US" w:eastAsia="zh-CN" w:bidi="ar"/>
        </w:rPr>
        <w:t>（五）政府信息公开监督保障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kern w:val="0"/>
          <w:sz w:val="24"/>
          <w:szCs w:val="24"/>
          <w:shd w:val="clear" w:fill="FFFFFF"/>
          <w:lang w:val="en-US" w:eastAsia="zh-CN" w:bidi="ar"/>
        </w:rPr>
        <w:t>乡主要领导亲自抓，分管领导多次在例会上进行安排布置，加强对政务公开工作人员的培训，力求准确理解掌握相关规定，切实增强公开意识和能力，出台了乡政务公开管理办法，把政务公开工作纳入年度考核指标，并认真对照县政府政务公开考核细则要求及时做好政府信息公开工作，积极接受社会和群众的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i w:val="0"/>
          <w:iCs w:val="0"/>
          <w:caps w:val="0"/>
          <w:color w:val="333333"/>
          <w:spacing w:val="0"/>
          <w:kern w:val="0"/>
          <w:sz w:val="24"/>
          <w:szCs w:val="24"/>
          <w:shd w:val="clear" w:fill="FFFFFF"/>
          <w:lang w:val="en-US" w:eastAsia="zh-CN" w:bidi="ar"/>
        </w:rPr>
        <w:t> </w:t>
      </w:r>
    </w:p>
    <w:p>
      <w:pPr>
        <w:keepNext w:val="0"/>
        <w:keepLines w:val="0"/>
        <w:widowControl/>
        <w:suppressLineNumbers w:val="0"/>
        <w:jc w:val="left"/>
        <w:rPr>
          <w:rFonts w:hint="eastAsia" w:ascii="仿宋_GB2312" w:hAnsi="仿宋_GB2312" w:eastAsia="仿宋_GB2312" w:cs="仿宋_GB231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480"/>
        <w:jc w:val="both"/>
      </w:pPr>
      <w:r>
        <w:rPr>
          <w:rFonts w:hint="eastAsia" w:ascii="仿宋_GB2312" w:hAnsi="Times New Roman" w:eastAsia="仿宋_GB2312" w:cs="仿宋_GB2312"/>
          <w:b/>
          <w:bCs/>
          <w:i w:val="0"/>
          <w:iCs w:val="0"/>
          <w:caps w:val="0"/>
          <w:color w:val="333333"/>
          <w:spacing w:val="0"/>
          <w:kern w:val="0"/>
          <w:sz w:val="24"/>
          <w:szCs w:val="24"/>
          <w:shd w:val="clear" w:fill="FFFFFF"/>
          <w:lang w:val="en-US" w:eastAsia="zh-CN" w:bidi="ar"/>
        </w:rPr>
        <w:t>二、主动公开政府信息情况</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13"/>
        <w:gridCol w:w="1875"/>
        <w:gridCol w:w="1271"/>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本年新</w:t>
            </w:r>
            <w:r>
              <w:rPr>
                <w:rFonts w:hint="default" w:ascii="Times New Roman" w:hAnsi="Times New Roman" w:cs="Times New Roman" w:eastAsiaTheme="minorEastAsia"/>
                <w:color w:val="000000"/>
                <w:kern w:val="0"/>
                <w:sz w:val="20"/>
                <w:szCs w:val="20"/>
                <w:lang w:val="en-US" w:eastAsia="zh-CN" w:bidi="ar"/>
              </w:rPr>
              <w:br w:type="textWrapping"/>
            </w:r>
            <w:r>
              <w:rPr>
                <w:rFonts w:hint="default" w:ascii="Times New Roman" w:hAnsi="Times New Roman" w:cs="Times New Roman" w:eastAsiaTheme="minorEastAsia"/>
                <w:kern w:val="0"/>
                <w:sz w:val="20"/>
                <w:szCs w:val="20"/>
                <w:lang w:val="en-US" w:eastAsia="zh-CN" w:bidi="ar"/>
              </w:rPr>
              <w:t>制作数量</w:t>
            </w:r>
          </w:p>
        </w:tc>
        <w:tc>
          <w:tcPr>
            <w:tcW w:w="127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本年新</w:t>
            </w:r>
            <w:r>
              <w:rPr>
                <w:rFonts w:hint="default" w:ascii="Times New Roman" w:hAnsi="Times New Roman" w:cs="Times New Roman" w:eastAsiaTheme="minorEastAsia"/>
                <w:color w:val="000000"/>
                <w:kern w:val="0"/>
                <w:sz w:val="20"/>
                <w:szCs w:val="20"/>
                <w:lang w:val="en-US" w:eastAsia="zh-CN" w:bidi="ar"/>
              </w:rPr>
              <w:br w:type="textWrapping"/>
            </w:r>
            <w:r>
              <w:rPr>
                <w:rFonts w:hint="default" w:ascii="Times New Roman" w:hAnsi="Times New Roman" w:cs="Times New Roman" w:eastAsiaTheme="minorEastAsia"/>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color w:val="000000"/>
                <w:kern w:val="0"/>
                <w:sz w:val="24"/>
                <w:szCs w:val="24"/>
                <w:lang w:val="en-US" w:eastAsia="zh-CN" w:bidi="ar"/>
              </w:rPr>
              <w:t>0</w:t>
            </w:r>
          </w:p>
        </w:tc>
        <w:tc>
          <w:tcPr>
            <w:tcW w:w="127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color w:val="000000"/>
                <w:kern w:val="0"/>
                <w:sz w:val="24"/>
                <w:szCs w:val="24"/>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color w:val="000000"/>
                <w:kern w:val="0"/>
                <w:sz w:val="24"/>
                <w:szCs w:val="24"/>
                <w:lang w:val="en-US" w:eastAsia="zh-CN" w:bidi="ar"/>
              </w:rPr>
              <w:t>0</w:t>
            </w:r>
          </w:p>
        </w:tc>
        <w:tc>
          <w:tcPr>
            <w:tcW w:w="127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上一年项目数量</w:t>
            </w:r>
          </w:p>
        </w:tc>
        <w:tc>
          <w:tcPr>
            <w:tcW w:w="127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本年增/</w:t>
            </w:r>
            <w:r>
              <w:rPr>
                <w:rFonts w:hint="eastAsia" w:ascii="仿宋_GB2312" w:hAnsi="Times New Roman" w:eastAsia="仿宋_GB2312" w:cs="仿宋_GB2312"/>
                <w:color w:val="000000"/>
                <w:kern w:val="0"/>
                <w:sz w:val="20"/>
                <w:szCs w:val="20"/>
                <w:lang w:val="en-US" w:eastAsia="zh-CN" w:bidi="ar"/>
              </w:rPr>
              <w:t>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行政许可</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5</w:t>
            </w:r>
          </w:p>
        </w:tc>
        <w:tc>
          <w:tcPr>
            <w:tcW w:w="127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增0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其他对外管理服务事项</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119</w:t>
            </w:r>
          </w:p>
        </w:tc>
        <w:tc>
          <w:tcPr>
            <w:tcW w:w="127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增0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上一年项目数量</w:t>
            </w:r>
          </w:p>
        </w:tc>
        <w:tc>
          <w:tcPr>
            <w:tcW w:w="127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本年增/</w:t>
            </w:r>
            <w:r>
              <w:rPr>
                <w:rFonts w:hint="eastAsia" w:ascii="仿宋_GB2312" w:hAnsi="Times New Roman" w:eastAsia="仿宋_GB2312" w:cs="仿宋_GB2312"/>
                <w:color w:val="000000"/>
                <w:kern w:val="0"/>
                <w:sz w:val="20"/>
                <w:szCs w:val="20"/>
                <w:lang w:val="en-US" w:eastAsia="zh-CN" w:bidi="ar"/>
              </w:rPr>
              <w:t>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行政处罚</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5</w:t>
            </w:r>
          </w:p>
        </w:tc>
        <w:tc>
          <w:tcPr>
            <w:tcW w:w="127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增0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行政强制</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6</w:t>
            </w:r>
          </w:p>
        </w:tc>
        <w:tc>
          <w:tcPr>
            <w:tcW w:w="127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增0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信息内容</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上一年项目数量</w:t>
            </w:r>
          </w:p>
        </w:tc>
        <w:tc>
          <w:tcPr>
            <w:tcW w:w="315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本年增/</w:t>
            </w:r>
            <w:r>
              <w:rPr>
                <w:rFonts w:hint="eastAsia" w:ascii="仿宋_GB2312" w:hAnsi="Times New Roman" w:eastAsia="仿宋_GB2312" w:cs="仿宋_GB2312"/>
                <w:color w:val="000000"/>
                <w:kern w:val="0"/>
                <w:sz w:val="20"/>
                <w:szCs w:val="20"/>
                <w:lang w:val="en-US" w:eastAsia="zh-CN" w:bidi="ar"/>
              </w:rPr>
              <w:t>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行政事业性收费</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2</w:t>
            </w:r>
          </w:p>
        </w:tc>
        <w:tc>
          <w:tcPr>
            <w:tcW w:w="315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增0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信息内容</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采购项目数量</w:t>
            </w:r>
          </w:p>
        </w:tc>
        <w:tc>
          <w:tcPr>
            <w:tcW w:w="315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政府集中采购</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0</w:t>
            </w:r>
          </w:p>
        </w:tc>
        <w:tc>
          <w:tcPr>
            <w:tcW w:w="315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kern w:val="0"/>
                <w:sz w:val="24"/>
                <w:szCs w:val="24"/>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pPr>
      <w:r>
        <w:rPr>
          <w:rFonts w:hint="default" w:ascii="Times New Roman" w:hAnsi="Times New Roman" w:eastAsia="微软雅黑" w:cs="Times New Roman"/>
          <w:i w:val="0"/>
          <w:iCs w:val="0"/>
          <w:caps w:val="0"/>
          <w:color w:val="333333"/>
          <w:spacing w:val="0"/>
          <w:kern w:val="0"/>
          <w:sz w:val="24"/>
          <w:szCs w:val="24"/>
          <w:shd w:val="clear" w:fill="FFFFF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480"/>
        <w:jc w:val="both"/>
      </w:pPr>
      <w:r>
        <w:rPr>
          <w:rFonts w:hint="eastAsia" w:ascii="仿宋_GB2312" w:hAnsi="Times New Roman" w:eastAsia="仿宋_GB2312" w:cs="仿宋_GB2312"/>
          <w:b/>
          <w:bCs/>
          <w:i w:val="0"/>
          <w:iCs w:val="0"/>
          <w:caps w:val="0"/>
          <w:color w:val="333333"/>
          <w:spacing w:val="0"/>
          <w:kern w:val="0"/>
          <w:sz w:val="24"/>
          <w:szCs w:val="24"/>
          <w:shd w:val="clear" w:fill="FFFFFF"/>
          <w:lang w:val="en-US" w:eastAsia="zh-CN" w:bidi="ar"/>
        </w:rPr>
        <w:t>三、收到和处理政府信息公开申请情况</w:t>
      </w:r>
    </w:p>
    <w:tbl>
      <w:tblPr>
        <w:tblStyle w:val="2"/>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7"/>
        <w:gridCol w:w="854"/>
        <w:gridCol w:w="2300"/>
        <w:gridCol w:w="599"/>
        <w:gridCol w:w="755"/>
        <w:gridCol w:w="755"/>
        <w:gridCol w:w="813"/>
        <w:gridCol w:w="973"/>
        <w:gridCol w:w="711"/>
        <w:gridCol w:w="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71"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（本列数据的勾稽关系为：第一项加第二项之和，等于第三项加第四项之和）</w:t>
            </w:r>
          </w:p>
        </w:tc>
        <w:tc>
          <w:tcPr>
            <w:tcW w:w="5300"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9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法人或其他组织</w:t>
            </w:r>
          </w:p>
        </w:tc>
        <w:tc>
          <w:tcPr>
            <w:tcW w:w="69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1" w:hRule="atLeast"/>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9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商业企业</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其他</w:t>
            </w:r>
          </w:p>
        </w:tc>
        <w:tc>
          <w:tcPr>
            <w:tcW w:w="69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一、本年新收政府信息公开申请数量</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二、上年结转政府信息公开申请数量</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三、本年度办理结果</w:t>
            </w:r>
          </w:p>
        </w:tc>
        <w:tc>
          <w:tcPr>
            <w:tcW w:w="31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（一）予以公开</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（二）部分公开（区分处理的，只计这一情形，不计其他情形）</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（三）不予公开</w:t>
            </w: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1.</w:t>
            </w:r>
            <w:r>
              <w:rPr>
                <w:rFonts w:ascii="楷体" w:hAnsi="楷体" w:eastAsia="楷体" w:cs="楷体"/>
                <w:kern w:val="0"/>
                <w:sz w:val="20"/>
                <w:szCs w:val="20"/>
                <w:lang w:val="en-US" w:eastAsia="zh-CN" w:bidi="ar"/>
              </w:rPr>
              <w:t>属于国家秘密</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2.</w:t>
            </w:r>
            <w:r>
              <w:rPr>
                <w:rFonts w:hint="eastAsia" w:ascii="楷体" w:hAnsi="楷体" w:eastAsia="楷体" w:cs="楷体"/>
                <w:kern w:val="0"/>
                <w:sz w:val="20"/>
                <w:szCs w:val="20"/>
                <w:lang w:val="en-US" w:eastAsia="zh-CN" w:bidi="ar"/>
              </w:rPr>
              <w:t>其他法律行政法规禁止公开</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3.</w:t>
            </w:r>
            <w:r>
              <w:rPr>
                <w:rFonts w:hint="eastAsia" w:ascii="楷体" w:hAnsi="楷体" w:eastAsia="楷体" w:cs="楷体"/>
                <w:kern w:val="0"/>
                <w:sz w:val="20"/>
                <w:szCs w:val="20"/>
                <w:lang w:val="en-US" w:eastAsia="zh-CN" w:bidi="ar"/>
              </w:rPr>
              <w:t>危及</w:t>
            </w:r>
            <w:r>
              <w:rPr>
                <w:rFonts w:hint="default" w:ascii="Times New Roman" w:hAnsi="Times New Roman" w:cs="Times New Roman" w:eastAsiaTheme="minorEastAsia"/>
                <w:kern w:val="0"/>
                <w:sz w:val="20"/>
                <w:szCs w:val="20"/>
                <w:lang w:val="en-US" w:eastAsia="zh-CN" w:bidi="ar"/>
              </w:rPr>
              <w:t>“</w:t>
            </w:r>
            <w:r>
              <w:rPr>
                <w:rFonts w:hint="eastAsia" w:ascii="楷体" w:hAnsi="楷体" w:eastAsia="楷体" w:cs="楷体"/>
                <w:kern w:val="0"/>
                <w:sz w:val="20"/>
                <w:szCs w:val="20"/>
                <w:lang w:val="en-US" w:eastAsia="zh-CN" w:bidi="ar"/>
              </w:rPr>
              <w:t>三安全一稳定</w:t>
            </w:r>
            <w:r>
              <w:rPr>
                <w:rFonts w:hint="default" w:ascii="Times New Roman" w:hAnsi="Times New Roman" w:cs="Times New Roman" w:eastAsiaTheme="minorEastAsia"/>
                <w:kern w:val="0"/>
                <w:sz w:val="20"/>
                <w:szCs w:val="20"/>
                <w:lang w:val="en-US" w:eastAsia="zh-CN" w:bidi="ar"/>
              </w:rPr>
              <w:t>”</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4.</w:t>
            </w:r>
            <w:r>
              <w:rPr>
                <w:rFonts w:hint="eastAsia" w:ascii="楷体" w:hAnsi="楷体" w:eastAsia="楷体" w:cs="楷体"/>
                <w:kern w:val="0"/>
                <w:sz w:val="20"/>
                <w:szCs w:val="20"/>
                <w:lang w:val="en-US" w:eastAsia="zh-CN" w:bidi="ar"/>
              </w:rPr>
              <w:t>保护第三方合法权益</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5.</w:t>
            </w:r>
            <w:r>
              <w:rPr>
                <w:rFonts w:hint="eastAsia" w:ascii="楷体" w:hAnsi="楷体" w:eastAsia="楷体" w:cs="楷体"/>
                <w:kern w:val="0"/>
                <w:sz w:val="20"/>
                <w:szCs w:val="20"/>
                <w:lang w:val="en-US" w:eastAsia="zh-CN" w:bidi="ar"/>
              </w:rPr>
              <w:t>属于三类内部事务信息</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6.</w:t>
            </w:r>
            <w:r>
              <w:rPr>
                <w:rFonts w:hint="eastAsia" w:ascii="楷体" w:hAnsi="楷体" w:eastAsia="楷体" w:cs="楷体"/>
                <w:kern w:val="0"/>
                <w:sz w:val="20"/>
                <w:szCs w:val="20"/>
                <w:lang w:val="en-US" w:eastAsia="zh-CN" w:bidi="ar"/>
              </w:rPr>
              <w:t>属于四类过程性信息</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7.</w:t>
            </w:r>
            <w:r>
              <w:rPr>
                <w:rFonts w:hint="eastAsia" w:ascii="楷体" w:hAnsi="楷体" w:eastAsia="楷体" w:cs="楷体"/>
                <w:kern w:val="0"/>
                <w:sz w:val="20"/>
                <w:szCs w:val="20"/>
                <w:lang w:val="en-US" w:eastAsia="zh-CN" w:bidi="ar"/>
              </w:rPr>
              <w:t>属于行政执法案卷</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8.</w:t>
            </w:r>
            <w:r>
              <w:rPr>
                <w:rFonts w:hint="eastAsia" w:ascii="楷体" w:hAnsi="楷体" w:eastAsia="楷体" w:cs="楷体"/>
                <w:kern w:val="0"/>
                <w:sz w:val="20"/>
                <w:szCs w:val="20"/>
                <w:lang w:val="en-US" w:eastAsia="zh-CN" w:bidi="ar"/>
              </w:rPr>
              <w:t>属于行政查询事项</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（四）无法提供</w:t>
            </w: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1.</w:t>
            </w:r>
            <w:r>
              <w:rPr>
                <w:rFonts w:hint="eastAsia" w:ascii="楷体" w:hAnsi="楷体" w:eastAsia="楷体" w:cs="楷体"/>
                <w:kern w:val="0"/>
                <w:sz w:val="20"/>
                <w:szCs w:val="20"/>
                <w:lang w:val="en-US" w:eastAsia="zh-CN" w:bidi="ar"/>
              </w:rPr>
              <w:t>本机关不掌握相关政府信息</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2.</w:t>
            </w:r>
            <w:r>
              <w:rPr>
                <w:rFonts w:hint="eastAsia" w:ascii="楷体" w:hAnsi="楷体" w:eastAsia="楷体" w:cs="楷体"/>
                <w:kern w:val="0"/>
                <w:sz w:val="20"/>
                <w:szCs w:val="20"/>
                <w:lang w:val="en-US" w:eastAsia="zh-CN" w:bidi="ar"/>
              </w:rPr>
              <w:t>没有现成信息需要另行制作</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3.</w:t>
            </w:r>
            <w:r>
              <w:rPr>
                <w:rFonts w:hint="eastAsia" w:ascii="楷体" w:hAnsi="楷体" w:eastAsia="楷体" w:cs="楷体"/>
                <w:kern w:val="0"/>
                <w:sz w:val="20"/>
                <w:szCs w:val="20"/>
                <w:lang w:val="en-US" w:eastAsia="zh-CN" w:bidi="ar"/>
              </w:rPr>
              <w:t>补正后申请内容仍不明确</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（五）不予处理</w:t>
            </w: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1.</w:t>
            </w:r>
            <w:r>
              <w:rPr>
                <w:rFonts w:hint="eastAsia" w:ascii="楷体" w:hAnsi="楷体" w:eastAsia="楷体" w:cs="楷体"/>
                <w:kern w:val="0"/>
                <w:sz w:val="20"/>
                <w:szCs w:val="20"/>
                <w:lang w:val="en-US" w:eastAsia="zh-CN" w:bidi="ar"/>
              </w:rPr>
              <w:t>信访举报投诉类申请</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2.</w:t>
            </w:r>
            <w:r>
              <w:rPr>
                <w:rFonts w:hint="eastAsia" w:ascii="楷体" w:hAnsi="楷体" w:eastAsia="楷体" w:cs="楷体"/>
                <w:kern w:val="0"/>
                <w:sz w:val="20"/>
                <w:szCs w:val="20"/>
                <w:lang w:val="en-US" w:eastAsia="zh-CN" w:bidi="ar"/>
              </w:rPr>
              <w:t>重复申请</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3.</w:t>
            </w:r>
            <w:r>
              <w:rPr>
                <w:rFonts w:hint="eastAsia" w:ascii="楷体" w:hAnsi="楷体" w:eastAsia="楷体" w:cs="楷体"/>
                <w:kern w:val="0"/>
                <w:sz w:val="20"/>
                <w:szCs w:val="20"/>
                <w:lang w:val="en-US" w:eastAsia="zh-CN" w:bidi="ar"/>
              </w:rPr>
              <w:t>要求提供公开出版物</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4.</w:t>
            </w:r>
            <w:r>
              <w:rPr>
                <w:rFonts w:hint="eastAsia" w:ascii="楷体" w:hAnsi="楷体" w:eastAsia="楷体" w:cs="楷体"/>
                <w:kern w:val="0"/>
                <w:sz w:val="20"/>
                <w:szCs w:val="20"/>
                <w:lang w:val="en-US" w:eastAsia="zh-CN" w:bidi="ar"/>
              </w:rPr>
              <w:t>无正当理由大量反复申请</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5.</w:t>
            </w:r>
            <w:r>
              <w:rPr>
                <w:rFonts w:hint="eastAsia" w:ascii="楷体" w:hAnsi="楷体" w:eastAsia="楷体" w:cs="楷体"/>
                <w:kern w:val="0"/>
                <w:sz w:val="20"/>
                <w:szCs w:val="20"/>
                <w:lang w:val="en-US" w:eastAsia="zh-CN" w:bidi="ar"/>
              </w:rPr>
              <w:t>要求行政机关确认或重新出具已获取信息</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（六）其他处理</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（七）总计</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四、结转下年度继续办理</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_GB2312" w:eastAsia="仿宋_GB2312" w:cs="仿宋_GB2312" w:hAnsiTheme="minorHAnsi"/>
                <w:kern w:val="0"/>
                <w:sz w:val="24"/>
                <w:szCs w:val="24"/>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pPr>
      <w:r>
        <w:rPr>
          <w:rFonts w:hint="default" w:ascii="Times New Roman" w:hAnsi="Times New Roman" w:eastAsia="微软雅黑" w:cs="Times New Roman"/>
          <w:i w:val="0"/>
          <w:iCs w:val="0"/>
          <w:caps w:val="0"/>
          <w:color w:val="333333"/>
          <w:spacing w:val="0"/>
          <w:kern w:val="0"/>
          <w:sz w:val="24"/>
          <w:szCs w:val="24"/>
          <w:shd w:val="clear" w:fill="FFFFF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Times New Roman" w:eastAsia="仿宋_GB2312" w:cs="仿宋_GB2312"/>
          <w:b/>
          <w:bCs/>
          <w:i w:val="0"/>
          <w:iCs w:val="0"/>
          <w:caps w:val="0"/>
          <w:color w:val="333333"/>
          <w:spacing w:val="0"/>
          <w:kern w:val="0"/>
          <w:sz w:val="24"/>
          <w:szCs w:val="24"/>
          <w:shd w:val="clear" w:fill="FFFFFF"/>
          <w:lang w:val="en-US" w:eastAsia="zh-CN" w:bidi="ar"/>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kern w:val="0"/>
          <w:sz w:val="24"/>
          <w:szCs w:val="24"/>
          <w:shd w:val="clear" w:fill="FFFFFF"/>
          <w:lang w:val="en-US" w:eastAsia="zh-CN" w:bidi="ar"/>
        </w:rPr>
        <w:t> </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568"/>
        <w:gridCol w:w="568"/>
        <w:gridCol w:w="568"/>
        <w:gridCol w:w="611"/>
        <w:gridCol w:w="524"/>
        <w:gridCol w:w="568"/>
        <w:gridCol w:w="568"/>
        <w:gridCol w:w="568"/>
        <w:gridCol w:w="568"/>
        <w:gridCol w:w="568"/>
        <w:gridCol w:w="568"/>
        <w:gridCol w:w="568"/>
        <w:gridCol w:w="569"/>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lang w:val="en-US" w:eastAsia="zh-CN" w:bidi="ar"/>
              </w:rPr>
              <w:t> </w:t>
            </w:r>
            <w:r>
              <w:rPr>
                <w:rFonts w:hint="eastAsia" w:ascii="仿宋_GB2312" w:eastAsia="仿宋_GB2312" w:cs="仿宋_GB2312" w:hAnsiTheme="minorHAnsi"/>
                <w:kern w:val="0"/>
                <w:sz w:val="20"/>
                <w:szCs w:val="2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Times New Roman" w:eastAsia="仿宋_GB2312" w:cs="仿宋_GB2312"/>
          <w:b/>
          <w:bCs/>
          <w:i w:val="0"/>
          <w:iCs w:val="0"/>
          <w:caps w:val="0"/>
          <w:color w:val="333333"/>
          <w:spacing w:val="0"/>
          <w:kern w:val="0"/>
          <w:sz w:val="24"/>
          <w:szCs w:val="24"/>
          <w:shd w:val="clear" w:fill="FFFFFF"/>
          <w:lang w:val="en-US" w:eastAsia="zh-CN" w:bidi="ar"/>
        </w:rPr>
        <w:t>五、存在的主要问题及改进情况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24"/>
          <w:szCs w:val="24"/>
          <w:shd w:val="clear" w:fill="FFFFFF"/>
          <w:lang w:val="en-US" w:eastAsia="zh-CN" w:bidi="ar"/>
        </w:rPr>
        <w:t>（一）存在的主要问题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24"/>
          <w:szCs w:val="24"/>
          <w:shd w:val="clear" w:fill="FFFFFF"/>
          <w:lang w:val="en-US" w:eastAsia="zh-CN" w:bidi="ar"/>
        </w:rPr>
        <w:t>2020年度，果子园乡政务公开工作与上级要求和群众期望还存在一定差距，主要体现在部分干部对政务公开工作的思想认识不到位，信息内容更新不够全面，政策解读不够深入。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24"/>
          <w:szCs w:val="24"/>
          <w:shd w:val="clear" w:fill="FFFFFF"/>
          <w:lang w:val="en-US" w:eastAsia="zh-CN" w:bidi="ar"/>
        </w:rPr>
        <w:t>2021年度，果子园乡将继续以习近平新时代中国特色社会主义思想为指导，围绕县委、县政府中心工作，以国家法律法规为依据，以公开公正为原则，以群众满以为标准，深入推进政务公开工作，更加注重公开决策、操作的全过程，做到事前、事中、事后公开相结合，保证社会公众的知情权、参与权和监督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24"/>
          <w:szCs w:val="24"/>
          <w:shd w:val="clear" w:fill="FFFFFF"/>
          <w:lang w:val="en-US" w:eastAsia="zh-CN" w:bidi="ar"/>
        </w:rPr>
        <w:t>（二）改进情况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24"/>
          <w:szCs w:val="24"/>
          <w:shd w:val="clear" w:fill="FFFFFF"/>
          <w:lang w:val="en-US" w:eastAsia="zh-CN" w:bidi="ar"/>
        </w:rPr>
        <w:t>一是提高认识，加强对《政府信息公开条例》的学习宣传，继续将政务公开工作作为全乡的工作重点来抓，提高干部职工的思想认识，不断增强做好政务公开工作的责任感和使命感；二是充实内容，在及时更新各栏目内容的同时，提高信息质量和深度，不断增强工作透明度，充分征求公众意见，推动科学决策、民主决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Times New Roman" w:eastAsia="仿宋_GB2312" w:cs="仿宋_GB2312"/>
          <w:b/>
          <w:bCs/>
          <w:i w:val="0"/>
          <w:iCs w:val="0"/>
          <w:caps w:val="0"/>
          <w:color w:val="333333"/>
          <w:spacing w:val="0"/>
          <w:kern w:val="0"/>
          <w:sz w:val="24"/>
          <w:szCs w:val="24"/>
          <w:shd w:val="clear" w:fill="FFFFFF"/>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24"/>
          <w:szCs w:val="24"/>
          <w:shd w:val="clear" w:fill="FFFFFF"/>
          <w:lang w:val="en-US" w:eastAsia="zh-CN" w:bidi="ar"/>
        </w:rPr>
        <w:t>无。</w:t>
      </w:r>
    </w:p>
    <w:p>
      <w:pPr>
        <w:ind w:firstLine="360" w:firstLineChars="100"/>
        <w:rPr>
          <w:rFonts w:hint="eastAsia" w:ascii="仿宋_GB2312" w:hAnsi="仿宋_GB2312" w:eastAsia="仿宋_GB2312" w:cs="仿宋_GB2312"/>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NWFiMzFkODZjYTIxMzg0YWE2ZDA2YjEwMzdjZWMifQ=="/>
  </w:docVars>
  <w:rsids>
    <w:rsidRoot w:val="00000000"/>
    <w:rsid w:val="0444027E"/>
    <w:rsid w:val="04F419D9"/>
    <w:rsid w:val="37717E97"/>
    <w:rsid w:val="519C4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2977</Words>
  <Characters>3118</Characters>
  <Lines>0</Lines>
  <Paragraphs>0</Paragraphs>
  <TotalTime>35</TotalTime>
  <ScaleCrop>false</ScaleCrop>
  <LinksUpToDate>false</LinksUpToDate>
  <CharactersWithSpaces>3138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2024-04-12T07:56:00Z</dcterms:created>
  <dc:creator>GZY</dc:creator>
  <cp:lastModifiedBy>田娅</cp:lastModifiedBy>
  <dcterms:modified xsi:type="dcterms:W3CDTF">2024-07-02T07:19:14Z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116FC84373ED4889BDB6716D3C532E25_13</vt:lpwstr>
  </property>
</Properties>
</file>