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60" w:firstLineChars="100"/>
        <w:rPr>
          <w:rFonts w:hint="eastAsia" w:ascii="仿宋_GB2312" w:hAnsi="仿宋_GB2312" w:eastAsia="仿宋_GB2312" w:cs="仿宋_GB2312"/>
          <w:sz w:val="36"/>
          <w:szCs w:val="36"/>
          <w:lang w:val="en-US" w:eastAsia="zh-CN"/>
        </w:rPr>
      </w:pPr>
    </w:p>
    <w:p>
      <w:pPr>
        <w:ind w:left="3879" w:leftChars="171" w:hanging="3520" w:hangingChars="800"/>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金寨县果子园乡人民政府2021年政府</w:t>
      </w:r>
    </w:p>
    <w:p>
      <w:pPr>
        <w:ind w:left="3876" w:leftChars="798" w:hanging="2200" w:hangingChars="500"/>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信息公开工作年度报告</w:t>
      </w:r>
    </w:p>
    <w:p>
      <w:pPr>
        <w:ind w:firstLine="360" w:firstLineChars="100"/>
        <w:rPr>
          <w:rFonts w:hint="eastAsia" w:ascii="仿宋_GB2312" w:hAnsi="仿宋_GB2312" w:eastAsia="仿宋_GB2312" w:cs="仿宋_GB2312"/>
          <w:sz w:val="36"/>
          <w:szCs w:val="36"/>
          <w:lang w:val="en-US" w:eastAsia="zh-CN"/>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报告依据《中华人民共和国政府信息公开条例》（国务院令第711号，以下简称新《条例》）、《六安市人民政府办公室关于做好政府信息公开年度报告编制工作的通知》（六政办秘〔2020〕161号）和《金寨县政务公开办公室关于做好政府信息公开年度报告编制和发布工作的通知》（金政公开〔2021〕28号）要求编制而成。报告主要包括：总体情况、主动公开政府信息情况、收到和处理政府信息公开申请情况、因政府信息公开被申请行政复议和提起行政诉讼情况、政府信息公开工作存在主要问题及改进情况和其他需要报告事项。本报告中使用数据统计期限为2021年1月1日至12月31日，报告的电子版可金寨县信息公开网（http://www.ahjinzhai.gov.cn/public/index.html）下载。如对本报告有任何疑问，请与金寨县果子园乡人民政府办公室政务公开办联系（地址：金寨县果子园乡人民政府206室，电话：0564--7643001，邮编：237373）。</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both"/>
        <w:rPr>
          <w:rFonts w:hint="eastAsia" w:ascii="方正黑体_GBK" w:hAnsi="方正黑体_GBK" w:eastAsia="方正黑体_GBK" w:cs="方正黑体_GBK"/>
          <w:color w:val="000000"/>
          <w:sz w:val="32"/>
          <w:szCs w:val="32"/>
        </w:rPr>
      </w:pPr>
      <w:r>
        <w:rPr>
          <w:rFonts w:hint="eastAsia" w:ascii="方正黑体_GBK" w:hAnsi="方正黑体_GBK" w:eastAsia="方正黑体_GBK" w:cs="方正黑体_GBK"/>
          <w:b/>
          <w:bCs/>
          <w:i w:val="0"/>
          <w:iCs w:val="0"/>
          <w:caps w:val="0"/>
          <w:color w:val="333333"/>
          <w:spacing w:val="0"/>
          <w:kern w:val="0"/>
          <w:sz w:val="32"/>
          <w:szCs w:val="32"/>
          <w:shd w:val="clear" w:fill="FFFFFF"/>
          <w:lang w:val="en-US" w:eastAsia="zh-CN" w:bidi="ar"/>
        </w:rPr>
        <w:t>一、总体情况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20" w:lineRule="atLeast"/>
        <w:ind w:left="0" w:right="0" w:firstLine="48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2021年果子园乡政府信息公开工作在县委、县政府的正确领导下，在乡党委、政府的大力支持下，认真贯彻落实《中华人民共和国政府信息公开条例》及县政府相关文件要求，扎实推进各项工作，全年主动公开政府信息1062条，在“两化”专题中公开政府信息5361条。</w:t>
      </w:r>
    </w:p>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20" w:lineRule="atLeast"/>
        <w:ind w:left="0" w:right="0" w:firstLine="481"/>
        <w:jc w:val="both"/>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b/>
          <w:bCs/>
          <w:i w:val="0"/>
          <w:iCs w:val="0"/>
          <w:caps w:val="0"/>
          <w:color w:val="333333"/>
          <w:spacing w:val="0"/>
          <w:kern w:val="0"/>
          <w:sz w:val="32"/>
          <w:szCs w:val="32"/>
          <w:shd w:val="clear" w:fill="FFFFFF"/>
          <w:lang w:val="en-US" w:eastAsia="zh-CN" w:bidi="ar"/>
        </w:rPr>
        <w:t>（一）主动公开情况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20" w:lineRule="atLeast"/>
        <w:ind w:left="0" w:right="0" w:firstLine="48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果子园乡确保全面公开各项信息的基础上，重点抓好“十四五”规划、国土空间规划、专项规划、区域规划、财政信息、疫情防控、政策解读、回应关切等。梳理公开事项，细化公开内容，积极探索群众满意、操作性强的基层政务公开新路径。全年发布各类规划5条，政府会议26条，年度重点工作任务分解、执行及落实情况64条，经济和社会发展统计信息22条，年度财政预决算信息49条，“三公”经费情况17条，债权债务33条，财政专项资金管理和使用情况626条，疫情防控相关信息37条，社会救助和社会福利相关信息89条。</w:t>
      </w:r>
    </w:p>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20" w:lineRule="atLeast"/>
        <w:ind w:left="0" w:right="0" w:firstLine="481"/>
        <w:jc w:val="both"/>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b/>
          <w:bCs/>
          <w:i w:val="0"/>
          <w:iCs w:val="0"/>
          <w:caps w:val="0"/>
          <w:color w:val="333333"/>
          <w:spacing w:val="0"/>
          <w:kern w:val="0"/>
          <w:sz w:val="32"/>
          <w:szCs w:val="32"/>
          <w:shd w:val="clear" w:fill="FFFFFF"/>
          <w:lang w:val="en-US" w:eastAsia="zh-CN" w:bidi="ar"/>
        </w:rPr>
        <w:t>（二）依申请公开</w:t>
      </w:r>
    </w:p>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20" w:lineRule="atLeast"/>
        <w:ind w:left="0" w:right="0" w:firstLine="48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果子园乡2021年继续完善依申请公开制度、申请表和流程图等，通过政府网站的依申请公开在线申请栏目和依申请公开热线：7643001，为群众提供简单易用的申请渠道。2021年全年收到依申请公开政府信息的申请0条。</w:t>
      </w:r>
    </w:p>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20" w:lineRule="atLeast"/>
        <w:ind w:left="0" w:right="0" w:firstLine="481"/>
        <w:jc w:val="both"/>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b/>
          <w:bCs/>
          <w:i w:val="0"/>
          <w:iCs w:val="0"/>
          <w:caps w:val="0"/>
          <w:color w:val="333333"/>
          <w:spacing w:val="0"/>
          <w:kern w:val="0"/>
          <w:sz w:val="32"/>
          <w:szCs w:val="32"/>
          <w:shd w:val="clear" w:fill="FFFFFF"/>
          <w:lang w:val="en-US" w:eastAsia="zh-CN" w:bidi="ar"/>
        </w:rPr>
        <w:t>（三）政府信息管理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20" w:lineRule="atLeast"/>
        <w:ind w:left="0" w:right="0" w:firstLine="48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果子园乡按照县政府要求，进一步建立健全了信息公开制度，明确责任分工，强化信息审核流程。重点排查打卡花名册等涉及隐私的信息。严格管理涉密信息，确保涉密信息不上网。</w:t>
      </w:r>
    </w:p>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20" w:lineRule="atLeast"/>
        <w:ind w:left="0" w:right="0" w:firstLine="481"/>
        <w:jc w:val="both"/>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b/>
          <w:bCs/>
          <w:i w:val="0"/>
          <w:iCs w:val="0"/>
          <w:caps w:val="0"/>
          <w:color w:val="333333"/>
          <w:spacing w:val="0"/>
          <w:kern w:val="0"/>
          <w:sz w:val="32"/>
          <w:szCs w:val="32"/>
          <w:shd w:val="clear" w:fill="FFFFFF"/>
          <w:lang w:val="en-US" w:eastAsia="zh-CN" w:bidi="ar"/>
        </w:rPr>
        <w:t>（四）平台建设</w:t>
      </w:r>
    </w:p>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20" w:lineRule="atLeast"/>
        <w:ind w:left="0" w:right="0" w:firstLine="48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以县政府网站为果子园乡政府信息公开第一平台，明确</w:t>
      </w:r>
      <w:bookmarkStart w:id="0" w:name="_GoBack"/>
      <w:bookmarkEnd w:id="0"/>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专人管理维护，确保信息公开全面及时有效。乡村两级为民服务大厅达到“十有”建设标准，设有政府信息公开查阅点，有专人管护并帮助群众查询。建设乡村公示栏、意见箱，设置监督电话，广泛接受社会各界监督，强化政务服务，促进政策公开，推进为民服务体系建设。</w:t>
      </w:r>
    </w:p>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20" w:lineRule="atLeast"/>
        <w:ind w:left="0" w:right="0" w:firstLine="481"/>
        <w:jc w:val="both"/>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b/>
          <w:bCs/>
          <w:i w:val="0"/>
          <w:iCs w:val="0"/>
          <w:caps w:val="0"/>
          <w:color w:val="333333"/>
          <w:spacing w:val="0"/>
          <w:kern w:val="0"/>
          <w:sz w:val="32"/>
          <w:szCs w:val="32"/>
          <w:shd w:val="clear" w:fill="FFFFFF"/>
          <w:lang w:val="en-US" w:eastAsia="zh-CN" w:bidi="ar"/>
        </w:rPr>
        <w:t>（五）政府信息公开监督保障</w:t>
      </w:r>
    </w:p>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20" w:lineRule="atLeast"/>
        <w:ind w:left="0" w:right="0" w:firstLine="48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果子园乡将政务公开工作纳入对各村各部门及干部个人的年度考核指标中，考核分值为3分。成立了以乡长为组长、分管领导为副组长、各部门负责人为成员的政务公开领导小组，将各项业务经办人纳入政务公开办公室，为政府信息公开提供组织保障。全年召开政务公开培训会2次，按照政务公开要求及考核细则，切实提高信息质量。每季度召开1次业务推进会，分管领导在工作例会上多次安排布置，增强公开意识，推动工作开展，出现错报、漏报信息等情况严肃追责，责令问题单位现场整改。建立健全长效管理机制。2021年度我乡社会评议良好，未产生责任追究相关问题和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pPr>
      <w:r>
        <w:rPr>
          <w:rFonts w:hint="eastAsia" w:ascii="方正黑体_GBK" w:hAnsi="方正黑体_GBK" w:eastAsia="方正黑体_GBK" w:cs="方正黑体_GBK"/>
          <w:b/>
          <w:bCs/>
          <w:i w:val="0"/>
          <w:iCs w:val="0"/>
          <w:caps w:val="0"/>
          <w:color w:val="333333"/>
          <w:spacing w:val="0"/>
          <w:sz w:val="32"/>
          <w:szCs w:val="32"/>
          <w:shd w:val="clear" w:fill="FFFFFF"/>
        </w:rPr>
        <w:t>二、主动公开政府信息情况</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105"/>
        <w:gridCol w:w="2105"/>
        <w:gridCol w:w="2105"/>
        <w:gridCol w:w="21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asciiTheme="minorHAnsi" w:hAnsiTheme="minorHAnsi" w:eastAsiaTheme="minorEastAsia" w:cstheme="minorBidi"/>
                <w:kern w:val="0"/>
                <w:sz w:val="20"/>
                <w:szCs w:val="20"/>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asciiTheme="minorHAnsi" w:hAnsiTheme="minorHAnsi" w:eastAsiaTheme="minorEastAsia" w:cstheme="minorBidi"/>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ascii="仿宋_GB2312" w:eastAsia="仿宋_GB2312" w:cs="仿宋_GB2312" w:hAnsiTheme="minorHAnsi"/>
                <w:kern w:val="0"/>
                <w:sz w:val="21"/>
                <w:szCs w:val="21"/>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4"/>
                <w:szCs w:val="24"/>
                <w:lang w:val="en-US" w:eastAsia="zh-CN" w:bidi="ar"/>
              </w:rPr>
              <w:t>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方正黑体_GBK" w:hAnsi="方正黑体_GBK" w:eastAsia="方正黑体_GBK" w:cs="方正黑体_GBK"/>
          <w:sz w:val="32"/>
          <w:szCs w:val="32"/>
        </w:rPr>
      </w:pPr>
      <w:r>
        <w:rPr>
          <w:rFonts w:hint="eastAsia" w:ascii="方正黑体_GBK" w:hAnsi="方正黑体_GBK" w:eastAsia="方正黑体_GBK" w:cs="方正黑体_GBK"/>
          <w:b/>
          <w:bCs/>
          <w:i w:val="0"/>
          <w:iCs w:val="0"/>
          <w:caps w:val="0"/>
          <w:color w:val="333333"/>
          <w:spacing w:val="0"/>
          <w:sz w:val="32"/>
          <w:szCs w:val="32"/>
          <w:shd w:val="clear" w:fill="FFFFFF"/>
        </w:rPr>
        <w:t>三、收到和处理政府信息公开申请情况</w:t>
      </w:r>
    </w:p>
    <w:tbl>
      <w:tblPr>
        <w:tblStyle w:val="3"/>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11"/>
        <w:gridCol w:w="893"/>
        <w:gridCol w:w="2625"/>
        <w:gridCol w:w="606"/>
        <w:gridCol w:w="606"/>
        <w:gridCol w:w="606"/>
        <w:gridCol w:w="606"/>
        <w:gridCol w:w="606"/>
        <w:gridCol w:w="606"/>
        <w:gridCol w:w="60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29" w:type="dxa"/>
            <w:gridSpan w:val="3"/>
            <w:vMerge w:val="restart"/>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（本列数据的勾稽关系为：第一项加第二项之和，等于第三项加第四项之和）</w:t>
            </w:r>
          </w:p>
        </w:tc>
        <w:tc>
          <w:tcPr>
            <w:tcW w:w="4816" w:type="dxa"/>
            <w:gridSpan w:val="7"/>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申请人情况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rPr>
                <w:rFonts w:hint="eastAsia" w:ascii="仿宋_GB2312" w:hAnsi="仿宋_GB2312" w:eastAsia="仿宋_GB2312" w:cs="仿宋_GB2312"/>
                <w:sz w:val="24"/>
                <w:szCs w:val="24"/>
              </w:rPr>
            </w:pPr>
          </w:p>
        </w:tc>
        <w:tc>
          <w:tcPr>
            <w:tcW w:w="688" w:type="dxa"/>
            <w:vMerge w:val="restart"/>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自然人</w:t>
            </w:r>
          </w:p>
        </w:tc>
        <w:tc>
          <w:tcPr>
            <w:tcW w:w="3440" w:type="dxa"/>
            <w:gridSpan w:val="5"/>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法人或其他组织</w:t>
            </w:r>
          </w:p>
        </w:tc>
        <w:tc>
          <w:tcPr>
            <w:tcW w:w="688" w:type="dxa"/>
            <w:vMerge w:val="restart"/>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总计</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rPr>
                <w:rFonts w:hint="eastAsia" w:ascii="仿宋_GB2312" w:hAnsi="仿宋_GB2312" w:eastAsia="仿宋_GB2312" w:cs="仿宋_GB2312"/>
                <w:sz w:val="24"/>
                <w:szCs w:val="24"/>
              </w:rPr>
            </w:pPr>
          </w:p>
        </w:tc>
        <w:tc>
          <w:tcPr>
            <w:tcW w:w="688"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pPr>
              <w:rPr>
                <w:rFonts w:hint="eastAsia" w:ascii="仿宋_GB2312" w:hAnsi="仿宋_GB2312" w:eastAsia="仿宋_GB2312" w:cs="仿宋_GB2312"/>
                <w:sz w:val="24"/>
                <w:szCs w:val="24"/>
              </w:rPr>
            </w:pP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商业</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企业</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机构</w:t>
            </w:r>
          </w:p>
        </w:tc>
        <w:tc>
          <w:tcPr>
            <w:tcW w:w="688"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社会公益组织</w:t>
            </w:r>
          </w:p>
        </w:tc>
        <w:tc>
          <w:tcPr>
            <w:tcW w:w="688"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法律服务机构</w:t>
            </w:r>
          </w:p>
        </w:tc>
        <w:tc>
          <w:tcPr>
            <w:tcW w:w="688"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其他</w:t>
            </w:r>
          </w:p>
        </w:tc>
        <w:tc>
          <w:tcPr>
            <w:tcW w:w="688" w:type="dxa"/>
            <w:vMerge w:val="continue"/>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仿宋_GB2312" w:hAnsi="仿宋_GB2312" w:eastAsia="仿宋_GB2312" w:cs="仿宋_GB2312"/>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一、本年新收政府信息公开申请数量</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二、上年结转政府信息公开申请数量</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restart"/>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三、本年度办理结果</w:t>
            </w:r>
          </w:p>
        </w:tc>
        <w:tc>
          <w:tcPr>
            <w:tcW w:w="4162"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（一）予以公开</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single" w:color="auto" w:sz="8" w:space="0"/>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9" w:hRule="atLeast"/>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仿宋_GB2312" w:hAnsi="仿宋_GB2312" w:eastAsia="仿宋_GB2312" w:cs="仿宋_GB2312"/>
                <w:sz w:val="24"/>
                <w:szCs w:val="24"/>
              </w:rPr>
            </w:pPr>
          </w:p>
        </w:tc>
        <w:tc>
          <w:tcPr>
            <w:tcW w:w="4162"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（二）部分公开（区分处理的，只计这一情形，不计其他情形）</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仿宋_GB2312" w:hAnsi="仿宋_GB2312" w:eastAsia="仿宋_GB2312" w:cs="仿宋_GB2312"/>
                <w:sz w:val="24"/>
                <w:szCs w:val="24"/>
              </w:rPr>
            </w:pPr>
          </w:p>
        </w:tc>
        <w:tc>
          <w:tcPr>
            <w:tcW w:w="943"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（三）不予公开</w:t>
            </w: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1.属于国家秘密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single" w:color="auto" w:sz="8" w:space="0"/>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仿宋_GB2312" w:hAnsi="仿宋_GB2312" w:eastAsia="仿宋_GB2312" w:cs="仿宋_GB2312"/>
                <w:sz w:val="24"/>
                <w:szCs w:val="24"/>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仿宋_GB2312" w:hAnsi="仿宋_GB2312" w:eastAsia="仿宋_GB2312" w:cs="仿宋_GB2312"/>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2.其他法律行政法规禁止公开</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仿宋_GB2312" w:hAnsi="仿宋_GB2312" w:eastAsia="仿宋_GB2312" w:cs="仿宋_GB2312"/>
                <w:sz w:val="24"/>
                <w:szCs w:val="24"/>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仿宋_GB2312" w:hAnsi="仿宋_GB2312" w:eastAsia="仿宋_GB2312" w:cs="仿宋_GB2312"/>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3.危及“三安全一稳定”</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仿宋_GB2312" w:hAnsi="仿宋_GB2312" w:eastAsia="仿宋_GB2312" w:cs="仿宋_GB2312"/>
                <w:sz w:val="24"/>
                <w:szCs w:val="24"/>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仿宋_GB2312" w:hAnsi="仿宋_GB2312" w:eastAsia="仿宋_GB2312" w:cs="仿宋_GB2312"/>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4.保护第三方合法权益</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仿宋_GB2312" w:hAnsi="仿宋_GB2312" w:eastAsia="仿宋_GB2312" w:cs="仿宋_GB2312"/>
                <w:sz w:val="24"/>
                <w:szCs w:val="24"/>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仿宋_GB2312" w:hAnsi="仿宋_GB2312" w:eastAsia="仿宋_GB2312" w:cs="仿宋_GB2312"/>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5.属于三类内部事务信息</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仿宋_GB2312" w:hAnsi="仿宋_GB2312" w:eastAsia="仿宋_GB2312" w:cs="仿宋_GB2312"/>
                <w:sz w:val="24"/>
                <w:szCs w:val="24"/>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仿宋_GB2312" w:hAnsi="仿宋_GB2312" w:eastAsia="仿宋_GB2312" w:cs="仿宋_GB2312"/>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6.属于四类过程性信息</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仿宋_GB2312" w:hAnsi="仿宋_GB2312" w:eastAsia="仿宋_GB2312" w:cs="仿宋_GB2312"/>
                <w:sz w:val="24"/>
                <w:szCs w:val="24"/>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仿宋_GB2312" w:hAnsi="仿宋_GB2312" w:eastAsia="仿宋_GB2312" w:cs="仿宋_GB2312"/>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7.属于行政执法案卷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rPr>
            </w:pPr>
            <w:r>
              <w:rPr>
                <w:rFonts w:hint="eastAsia" w:ascii="仿宋_GB2312" w:hAnsi="仿宋_GB2312" w:eastAsia="仿宋_GB2312" w:cs="仿宋_GB2312"/>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8.属于行政查询事项</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（四）无法提供</w:t>
            </w: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1.本机关不掌握相关政府信息</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2.没有现成信息需要另行制作</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3.补正后申请内容仍不明确</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（五）不予处理</w:t>
            </w: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1.信访举报投诉类申请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2.重复申请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3.要求提供公开出版物</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4.无正当理由大量反复申请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79" w:hRule="atLeast"/>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3219" w:type="dxa"/>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宋体" w:hAnsi="宋体" w:eastAsia="宋体" w:cs="宋体"/>
                <w:kern w:val="0"/>
                <w:sz w:val="20"/>
                <w:szCs w:val="20"/>
                <w:lang w:val="en-US" w:eastAsia="zh-CN" w:bidi="ar"/>
              </w:rPr>
              <w:t>5.要求行政机关确认或重新出具已获取信息</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（六）其他处理</w:t>
            </w:r>
          </w:p>
        </w:tc>
        <w:tc>
          <w:tcPr>
            <w:tcW w:w="321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宋体" w:hAnsi="宋体" w:eastAsia="宋体" w:cs="宋体"/>
                <w:kern w:val="0"/>
                <w:sz w:val="20"/>
                <w:szCs w:val="20"/>
                <w:lang w:val="en-US" w:eastAsia="zh-CN" w:bidi="ar"/>
              </w:rPr>
              <w:t>1.申请人无正当理由逾期不补正、行政机关不再处理其政府信息公开申请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宋体" w:hAnsi="宋体" w:eastAsia="宋体" w:cs="宋体"/>
                <w:kern w:val="0"/>
                <w:sz w:val="20"/>
                <w:szCs w:val="20"/>
                <w:lang w:val="en-US" w:eastAsia="zh-CN" w:bidi="ar"/>
              </w:rPr>
              <w:t>2.申请人逾期未按收费通知要求缴纳费用、行政机关不再处理其政府信息公开申请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3.其他</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24"/>
                <w:szCs w:val="24"/>
              </w:rPr>
            </w:pPr>
          </w:p>
        </w:tc>
        <w:tc>
          <w:tcPr>
            <w:tcW w:w="4162"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（七）总计</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四、结转下年度继续办理</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仿宋_GB2312" w:eastAsia="仿宋_GB2312" w:cs="仿宋_GB2312" w:hAnsiTheme="minorHAnsi"/>
                <w:kern w:val="0"/>
                <w:sz w:val="20"/>
                <w:szCs w:val="20"/>
                <w:lang w:val="en-US" w:eastAsia="zh-CN" w:bidi="ar"/>
              </w:rPr>
              <w:t>0</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方正黑体_GBK" w:hAnsi="方正黑体_GBK" w:eastAsia="方正黑体_GBK" w:cs="方正黑体_GBK"/>
          <w:sz w:val="32"/>
          <w:szCs w:val="32"/>
        </w:rPr>
      </w:pPr>
      <w:r>
        <w:rPr>
          <w:rFonts w:hint="eastAsia" w:ascii="方正黑体_GBK" w:hAnsi="方正黑体_GBK" w:eastAsia="方正黑体_GBK" w:cs="方正黑体_GBK"/>
          <w:b/>
          <w:bCs/>
          <w:i w:val="0"/>
          <w:iCs w:val="0"/>
          <w:caps w:val="0"/>
          <w:color w:val="333333"/>
          <w:spacing w:val="0"/>
          <w:sz w:val="32"/>
          <w:szCs w:val="32"/>
          <w:shd w:val="clear" w:fill="FFFFFF"/>
        </w:rPr>
        <w:t>四、政府信息公开行政复议、行政诉讼情况</w:t>
      </w:r>
    </w:p>
    <w:tbl>
      <w:tblPr>
        <w:tblStyle w:val="3"/>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568"/>
        <w:gridCol w:w="568"/>
        <w:gridCol w:w="568"/>
        <w:gridCol w:w="568"/>
        <w:gridCol w:w="568"/>
        <w:gridCol w:w="568"/>
        <w:gridCol w:w="568"/>
        <w:gridCol w:w="568"/>
        <w:gridCol w:w="568"/>
        <w:gridCol w:w="568"/>
        <w:gridCol w:w="568"/>
        <w:gridCol w:w="568"/>
        <w:gridCol w:w="568"/>
        <w:gridCol w:w="569"/>
        <w:gridCol w:w="56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lang w:val="en-US" w:eastAsia="zh-CN" w:bidi="ar"/>
              </w:rPr>
              <w:t>行政复议</w:t>
            </w:r>
          </w:p>
        </w:tc>
        <w:tc>
          <w:tcPr>
            <w:tcW w:w="6498" w:type="dxa"/>
            <w:gridSpan w:val="10"/>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lang w:val="en-US" w:eastAsia="zh-CN" w:bidi="ar"/>
              </w:rPr>
              <w:t>行政诉讼</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lang w:val="en-US" w:eastAsia="zh-CN" w:bidi="ar"/>
              </w:rPr>
              <w:t>结果维持</w:t>
            </w:r>
          </w:p>
        </w:tc>
        <w:tc>
          <w:tcPr>
            <w:tcW w:w="649"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49"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49"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49"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lang w:val="en-US" w:eastAsia="zh-CN" w:bidi="ar"/>
              </w:rPr>
              <w:t>总计</w:t>
            </w:r>
          </w:p>
        </w:tc>
        <w:tc>
          <w:tcPr>
            <w:tcW w:w="3248"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lang w:val="en-US" w:eastAsia="zh-CN" w:bidi="ar"/>
              </w:rPr>
              <w:t>未经复议直接起诉</w:t>
            </w:r>
          </w:p>
        </w:tc>
        <w:tc>
          <w:tcPr>
            <w:tcW w:w="3250"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lang w:val="en-US" w:eastAsia="zh-CN" w:bidi="ar"/>
              </w:rPr>
              <w:t>复议后起诉</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9"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9"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9"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9"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1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ascii="黑体" w:hAnsi="宋体" w:eastAsia="黑体" w:cs="黑体"/>
                <w:kern w:val="0"/>
                <w:sz w:val="20"/>
                <w:szCs w:val="20"/>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黑体" w:hAnsi="宋体" w:eastAsia="黑体" w:cs="黑体"/>
                <w:kern w:val="0"/>
                <w:sz w:val="20"/>
                <w:szCs w:val="20"/>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黑体" w:hAnsi="宋体" w:eastAsia="黑体" w:cs="黑体"/>
                <w:kern w:val="0"/>
                <w:sz w:val="20"/>
                <w:szCs w:val="20"/>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黑体" w:hAnsi="宋体" w:eastAsia="黑体" w:cs="黑体"/>
                <w:kern w:val="0"/>
                <w:sz w:val="20"/>
                <w:szCs w:val="20"/>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黑体" w:hAnsi="宋体" w:eastAsia="黑体" w:cs="黑体"/>
                <w:kern w:val="0"/>
                <w:sz w:val="20"/>
                <w:szCs w:val="20"/>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黑体" w:hAnsi="宋体" w:eastAsia="黑体" w:cs="黑体"/>
                <w:kern w:val="0"/>
                <w:sz w:val="20"/>
                <w:szCs w:val="20"/>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黑体" w:hAnsi="宋体" w:eastAsia="黑体" w:cs="黑体"/>
                <w:kern w:val="0"/>
                <w:sz w:val="20"/>
                <w:szCs w:val="20"/>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黑体" w:hAnsi="宋体" w:eastAsia="黑体" w:cs="黑体"/>
                <w:kern w:val="0"/>
                <w:sz w:val="20"/>
                <w:szCs w:val="20"/>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黑体" w:hAnsi="宋体" w:eastAsia="黑体" w:cs="黑体"/>
                <w:kern w:val="0"/>
                <w:sz w:val="20"/>
                <w:szCs w:val="20"/>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黑体" w:hAnsi="宋体" w:eastAsia="黑体" w:cs="黑体"/>
                <w:kern w:val="0"/>
                <w:sz w:val="20"/>
                <w:szCs w:val="20"/>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黑体" w:hAnsi="宋体" w:eastAsia="黑体" w:cs="黑体"/>
                <w:kern w:val="0"/>
                <w:sz w:val="20"/>
                <w:szCs w:val="20"/>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黑体" w:hAnsi="宋体" w:eastAsia="黑体" w:cs="黑体"/>
                <w:kern w:val="0"/>
                <w:sz w:val="20"/>
                <w:szCs w:val="20"/>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黑体" w:hAnsi="宋体" w:eastAsia="黑体" w:cs="黑体"/>
                <w:kern w:val="0"/>
                <w:sz w:val="20"/>
                <w:szCs w:val="20"/>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jc w:val="center"/>
            </w:pPr>
            <w:r>
              <w:rPr>
                <w:rFonts w:hint="eastAsia" w:ascii="黑体" w:hAnsi="宋体" w:eastAsia="黑体" w:cs="黑体"/>
                <w:kern w:val="0"/>
                <w:sz w:val="20"/>
                <w:szCs w:val="20"/>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黑体" w:hAnsi="宋体" w:eastAsia="黑体" w:cs="黑体"/>
                <w:kern w:val="0"/>
                <w:sz w:val="20"/>
                <w:szCs w:val="20"/>
                <w:lang w:val="en-US" w:eastAsia="zh-CN" w:bidi="ar"/>
              </w:rPr>
              <w:t>0</w:t>
            </w: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方正黑体_GBK" w:hAnsi="方正黑体_GBK" w:eastAsia="方正黑体_GBK" w:cs="方正黑体_GBK"/>
          <w:sz w:val="32"/>
          <w:szCs w:val="32"/>
        </w:rPr>
      </w:pPr>
      <w:r>
        <w:rPr>
          <w:rFonts w:hint="eastAsia" w:ascii="方正黑体_GBK" w:hAnsi="方正黑体_GBK" w:eastAsia="方正黑体_GBK" w:cs="方正黑体_GBK"/>
          <w:b/>
          <w:bCs/>
          <w:i w:val="0"/>
          <w:iCs w:val="0"/>
          <w:caps w:val="0"/>
          <w:color w:val="333333"/>
          <w:spacing w:val="0"/>
          <w:sz w:val="32"/>
          <w:szCs w:val="32"/>
          <w:shd w:val="clear" w:fill="FFFFFF"/>
        </w:rPr>
        <w:t>五、存在的主要问题及改进情况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82"/>
        <w:jc w:val="both"/>
        <w:rPr>
          <w:rFonts w:hint="eastAsia" w:ascii="方正楷体_GBK" w:hAnsi="方正楷体_GBK" w:eastAsia="方正楷体_GBK" w:cs="方正楷体_GBK"/>
          <w:sz w:val="32"/>
          <w:szCs w:val="32"/>
        </w:rPr>
      </w:pPr>
      <w:r>
        <w:rPr>
          <w:rFonts w:hint="eastAsia" w:ascii="方正楷体_GBK" w:hAnsi="方正楷体_GBK" w:eastAsia="方正楷体_GBK" w:cs="方正楷体_GBK"/>
          <w:b/>
          <w:bCs/>
          <w:i w:val="0"/>
          <w:iCs w:val="0"/>
          <w:caps w:val="0"/>
          <w:color w:val="333333"/>
          <w:spacing w:val="0"/>
          <w:kern w:val="0"/>
          <w:sz w:val="32"/>
          <w:szCs w:val="32"/>
          <w:shd w:val="clear" w:fill="FFFFFF"/>
          <w:lang w:val="en-US" w:eastAsia="zh-CN" w:bidi="ar"/>
        </w:rPr>
        <w:t>（一）2021年度存在的问题及改进情况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8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2021年度，果子园乡政务公开工作与上级要求和群众期望还存在一定差距，主要体现在两个方面：一是部分干部对政务公开工作的思想认识不到位，提供的信息不及时，有的内容过于简单，认为政府信息公开只是表面工作，没有以认真的态度对待政府信息公开工作；二是政策解读不够深入，政策解读往往流于表面，有些甚至仅仅只是复述文件内容，没能以深入浅出的方式将政策讲深讲透。针对这些问题，我乡采取了以下措施：一是由分管领导约谈对政府信息公开重视程度不到位的工作人员，切实提高他们的思想站位，从源头解决问题；二是召开信息公开培训会，重点讲解政策解读的要求及解读方式，完善政策解读审核程序，明确拟稿人负责起草政策解读，分管领导负责审核。通过以上措施，切实提高了我乡公开信息的质量和时效性，促进政策解读走深走实。</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80"/>
        <w:jc w:val="both"/>
        <w:rPr>
          <w:rFonts w:hint="eastAsia" w:ascii="方正楷体_GBK" w:hAnsi="方正楷体_GBK" w:eastAsia="方正楷体_GBK" w:cs="方正楷体_GBK"/>
          <w:sz w:val="32"/>
          <w:szCs w:val="32"/>
        </w:rPr>
      </w:pPr>
      <w:r>
        <w:rPr>
          <w:rFonts w:hint="eastAsia" w:ascii="方正楷体_GBK" w:hAnsi="方正楷体_GBK" w:eastAsia="方正楷体_GBK" w:cs="方正楷体_GBK"/>
          <w:b/>
          <w:bCs/>
          <w:i w:val="0"/>
          <w:iCs w:val="0"/>
          <w:caps w:val="0"/>
          <w:color w:val="333333"/>
          <w:spacing w:val="0"/>
          <w:kern w:val="0"/>
          <w:sz w:val="32"/>
          <w:szCs w:val="32"/>
          <w:shd w:val="clear" w:fill="FFFFFF"/>
          <w:lang w:val="en-US" w:eastAsia="zh-CN" w:bidi="ar"/>
        </w:rPr>
        <w:t>（二）当前存在的问题及下一步改进情况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8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当前存在的问题主要是政策解读形式单一，仅有文字解读和少量的图片解读，解读形式不够丰富。下一步，果子园乡将加大人力物力财力的投入，力争能够以多种形式解读各项政策，切实丰富解读形式，提高群众的满意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方正黑体_GBK" w:hAnsi="方正黑体_GBK" w:eastAsia="方正黑体_GBK" w:cs="方正黑体_GBK"/>
          <w:sz w:val="32"/>
          <w:szCs w:val="32"/>
        </w:rPr>
      </w:pPr>
      <w:r>
        <w:rPr>
          <w:rFonts w:hint="eastAsia" w:ascii="方正黑体_GBK" w:hAnsi="方正黑体_GBK" w:eastAsia="方正黑体_GBK" w:cs="方正黑体_GBK"/>
          <w:b/>
          <w:bCs/>
          <w:i w:val="0"/>
          <w:iCs w:val="0"/>
          <w:caps w:val="0"/>
          <w:color w:val="333333"/>
          <w:spacing w:val="0"/>
          <w:sz w:val="32"/>
          <w:szCs w:val="32"/>
          <w:shd w:val="clear" w:fill="FFFFFF"/>
        </w:rPr>
        <w:t>六、其他需要报告的事项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8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按照《国务院办公厅关于印发&lt;政府信息公开信息处理费管理办法&gt;的通知》（国办函〔2020〕109号）规定的按件、按量收费标准，本年度没有产生信息公开处理费。</w:t>
      </w:r>
    </w:p>
    <w:p>
      <w:pPr>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NWFiMzFkODZjYTIxMzg0YWE2ZDA2YjEwMzdjZWMifQ=="/>
  </w:docVars>
  <w:rsids>
    <w:rsidRoot w:val="00000000"/>
    <w:rsid w:val="519C47E0"/>
    <w:rsid w:val="56C3770A"/>
    <w:rsid w:val="62797214"/>
    <w:rsid w:val="753B0D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2795</Words>
  <Characters>2941</Characters>
  <Lines>0</Lines>
  <Paragraphs>0</Paragraphs>
  <TotalTime>11</TotalTime>
  <ScaleCrop>false</ScaleCrop>
  <LinksUpToDate>false</LinksUpToDate>
  <CharactersWithSpaces>2943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2024-04-12T07:56:00Z</dcterms:created>
  <dc:creator>GZY</dc:creator>
  <cp:lastModifiedBy>田娅</cp:lastModifiedBy>
  <dcterms:modified xsi:type="dcterms:W3CDTF">2024-07-02T06:43:39Z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85683F235888417E9353576065EEF9A2_13</vt:lpwstr>
  </property>
</Properties>
</file>