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金寨县住房和城乡建设局20</w:t>
      </w:r>
      <w:r>
        <w:rPr>
          <w:rFonts w:hint="default" w:ascii="Times New Roman" w:hAnsi="Times New Roman" w:eastAsia="方正小标宋简体" w:cs="Times New Roman"/>
          <w:sz w:val="44"/>
          <w:szCs w:val="44"/>
          <w:lang w:val="en-US" w:eastAsia="zh-CN"/>
        </w:rPr>
        <w:t>20</w:t>
      </w:r>
      <w:r>
        <w:rPr>
          <w:rFonts w:hint="default" w:ascii="Times New Roman" w:hAnsi="Times New Roman" w:eastAsia="方正小标宋简体" w:cs="Times New Roman"/>
          <w:sz w:val="44"/>
          <w:szCs w:val="44"/>
        </w:rPr>
        <w:t>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rPr>
        <w:t>本年度报告是根据《中华人民共和国政府信息公开条例》要求编制的。全文包括总体情况、主动公开政府信息情况、收到和处理政府信息公开申请情况、政府信息公开行政复议、行政诉讼情况、存在的主要问题及改进情况和其他需要报告的事项。本年度报告中使用数据统计期限为2020年1月1日至2020年12月31日。本年度报告可在金寨县住房和城乡建设局政府信息公开平台查看。如对本年度报告有疑问，请与金寨县住房和城乡建设局联系，联系电话：0564-7359232；传真：0564-7359232；电子信箱：jinzhaijianshe @163.com。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5"/>
          <w:rFonts w:hint="default" w:ascii="Times New Roman" w:hAnsi="Times New Roman" w:eastAsia="方正黑体_GBK" w:cs="Times New Roman"/>
          <w:b w:val="0"/>
          <w:bCs w:val="0"/>
          <w:i w:val="0"/>
          <w:iCs w:val="0"/>
          <w:caps w:val="0"/>
          <w:color w:val="333333"/>
          <w:spacing w:val="0"/>
          <w:sz w:val="32"/>
          <w:szCs w:val="32"/>
          <w:shd w:val="clear" w:fill="FFFFFF"/>
        </w:rPr>
      </w:pPr>
      <w:r>
        <w:rPr>
          <w:rStyle w:val="5"/>
          <w:rFonts w:hint="default" w:ascii="Times New Roman" w:hAnsi="Times New Roman" w:eastAsia="方正黑体_GBK" w:cs="Times New Roman"/>
          <w:b w:val="0"/>
          <w:bCs w:val="0"/>
          <w:i w:val="0"/>
          <w:iCs w:val="0"/>
          <w:caps w:val="0"/>
          <w:color w:val="333333"/>
          <w:spacing w:val="0"/>
          <w:sz w:val="32"/>
          <w:szCs w:val="32"/>
          <w:shd w:val="clear" w:fill="FFFFFF"/>
        </w:rPr>
        <w:t>一、</w:t>
      </w:r>
      <w:r>
        <w:rPr>
          <w:rFonts w:hint="default" w:ascii="黑体" w:hAnsi="黑体" w:eastAsia="黑体" w:cs="黑体"/>
          <w:i w:val="0"/>
          <w:iCs w:val="0"/>
          <w:caps w:val="0"/>
          <w:color w:val="333333"/>
          <w:spacing w:val="0"/>
          <w:sz w:val="32"/>
          <w:szCs w:val="32"/>
          <w:shd w:val="clear" w:fill="FFFFFF"/>
        </w:rPr>
        <w:t>总体</w:t>
      </w:r>
      <w:r>
        <w:rPr>
          <w:rStyle w:val="5"/>
          <w:rFonts w:hint="default" w:ascii="Times New Roman" w:hAnsi="Times New Roman" w:eastAsia="方正黑体_GBK" w:cs="Times New Roman"/>
          <w:b w:val="0"/>
          <w:bCs w:val="0"/>
          <w:i w:val="0"/>
          <w:iCs w:val="0"/>
          <w:caps w:val="0"/>
          <w:color w:val="333333"/>
          <w:spacing w:val="0"/>
          <w:sz w:val="32"/>
          <w:szCs w:val="32"/>
          <w:shd w:val="clear" w:fill="FFFFFF"/>
        </w:rPr>
        <w:t>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rPr>
        <w:t>2020年，我局认真贯彻落实《中华人民共和国政府信息公开条例》等文件要求，按照县政务公开办关于信息公开工作总体安排，紧紧围绕住建中心工作，加强信息公开工作组织领导，规范公开流程，健全配套制度，严格保密审查，全力推进我局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i w:val="0"/>
          <w:iCs w:val="0"/>
          <w:caps w:val="0"/>
          <w:color w:val="333333"/>
          <w:spacing w:val="0"/>
          <w:sz w:val="32"/>
          <w:szCs w:val="32"/>
          <w:shd w:val="clear" w:fill="FFFFFF"/>
        </w:rPr>
      </w:pPr>
      <w:r>
        <w:rPr>
          <w:rFonts w:hint="default" w:ascii="Times New Roman" w:hAnsi="Times New Roman" w:eastAsia="仿宋_GB2312" w:cs="Times New Roman"/>
          <w:b/>
          <w:bCs/>
          <w:i w:val="0"/>
          <w:iCs w:val="0"/>
          <w:caps w:val="0"/>
          <w:color w:val="333333"/>
          <w:spacing w:val="0"/>
          <w:sz w:val="32"/>
          <w:szCs w:val="32"/>
          <w:shd w:val="clear" w:fill="FFFFFF"/>
        </w:rPr>
        <w:t>1、主动公开情况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rPr>
        <w:t>2020年是全县举力攻坚，打赢脱贫攻坚战，实现全县高质量脱贫的关键一年，县住建局作为脱贫攻坚重要职能部门，切实履行职责，围绕打好三大攻坚战加强重点领域信息公开，对牵头组织的因灾受损房屋的维修加固和拆除重建工作，确保受灾农户住房安全相关信息及时进行了公开。并对落实单位包村、干部包户各项帮扶工作开展和落实情况信息进行了公开。同时，我局拓宽公开渠道，加大对棚户区改造和保障性住房信息公开工作，从而保证了我县城镇低收入家庭及群众及时了解相关政策和配给情况。进一步推进住建领域基层政务公开标准化规范化工作。结合我局实际，全面梳理政务公开事项目录，并规范发布相关信息。全年共主动公开信息346条，其中主动公开规范性文件1条，机构领导、机构设置及人事信息31条，公开规划计划4条，公开财务预决算、财政专项经费管理使用和“三公”经费信息23条，部门项目信息6条，主动公开重点领域信息120 条，同步推送至县政府网公开。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i w:val="0"/>
          <w:iCs w:val="0"/>
          <w:caps w:val="0"/>
          <w:color w:val="333333"/>
          <w:spacing w:val="0"/>
          <w:sz w:val="32"/>
          <w:szCs w:val="32"/>
          <w:shd w:val="clear" w:fill="FFFFFF"/>
        </w:rPr>
      </w:pPr>
      <w:r>
        <w:rPr>
          <w:rFonts w:hint="default" w:ascii="Times New Roman" w:hAnsi="Times New Roman" w:eastAsia="仿宋_GB2312" w:cs="Times New Roman"/>
          <w:b/>
          <w:bCs/>
          <w:i w:val="0"/>
          <w:iCs w:val="0"/>
          <w:caps w:val="0"/>
          <w:color w:val="333333"/>
          <w:spacing w:val="0"/>
          <w:sz w:val="32"/>
          <w:szCs w:val="32"/>
          <w:shd w:val="clear" w:fill="FFFFFF"/>
        </w:rPr>
        <w:t>2、依申请公开情况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rPr>
        <w:t>本年度收到政府信息公开申请数量为1条，办理完毕1条，申请人为自然人，该条信息因非本部门掌握，无法提供,我局及时书面告知了申请人。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i w:val="0"/>
          <w:iCs w:val="0"/>
          <w:caps w:val="0"/>
          <w:color w:val="333333"/>
          <w:spacing w:val="0"/>
          <w:sz w:val="32"/>
          <w:szCs w:val="32"/>
          <w:shd w:val="clear" w:fill="FFFFFF"/>
        </w:rPr>
      </w:pPr>
      <w:r>
        <w:rPr>
          <w:rFonts w:hint="default" w:ascii="Times New Roman" w:hAnsi="Times New Roman" w:eastAsia="仿宋_GB2312" w:cs="Times New Roman"/>
          <w:b/>
          <w:bCs/>
          <w:i w:val="0"/>
          <w:iCs w:val="0"/>
          <w:caps w:val="0"/>
          <w:color w:val="333333"/>
          <w:spacing w:val="0"/>
          <w:sz w:val="32"/>
          <w:szCs w:val="32"/>
          <w:shd w:val="clear" w:fill="FFFFFF"/>
        </w:rPr>
        <w:t>3</w:t>
      </w:r>
      <w:r>
        <w:rPr>
          <w:rFonts w:hint="default" w:ascii="Times New Roman" w:hAnsi="Times New Roman" w:eastAsia="仿宋_GB2312" w:cs="Times New Roman"/>
          <w:b/>
          <w:bCs/>
          <w:i w:val="0"/>
          <w:iCs w:val="0"/>
          <w:caps w:val="0"/>
          <w:color w:val="333333"/>
          <w:spacing w:val="0"/>
          <w:sz w:val="32"/>
          <w:szCs w:val="32"/>
          <w:shd w:val="clear" w:fill="FFFFFF"/>
        </w:rPr>
        <w:t>、平台建设情况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rPr>
        <w:t>我局认真对照目录逐项完善信息公开组配目录，对局门户网站相关栏目进行了调整，并增设了重点领域栏目，进一步落实部门职责，切实加强行业扶贫、住房救助、住房保障和房地产市场监管等住建部门承担的重点领域信息公开，做到及时收集并整理信息进行更新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i w:val="0"/>
          <w:iCs w:val="0"/>
          <w:caps w:val="0"/>
          <w:color w:val="333333"/>
          <w:spacing w:val="0"/>
          <w:sz w:val="32"/>
          <w:szCs w:val="32"/>
          <w:shd w:val="clear" w:fill="FFFFFF"/>
        </w:rPr>
      </w:pPr>
      <w:r>
        <w:rPr>
          <w:rFonts w:hint="default" w:ascii="Times New Roman" w:hAnsi="Times New Roman" w:eastAsia="仿宋_GB2312" w:cs="Times New Roman"/>
          <w:b/>
          <w:bCs/>
          <w:i w:val="0"/>
          <w:iCs w:val="0"/>
          <w:caps w:val="0"/>
          <w:color w:val="333333"/>
          <w:spacing w:val="0"/>
          <w:sz w:val="32"/>
          <w:szCs w:val="32"/>
          <w:shd w:val="clear" w:fill="FFFFFF"/>
        </w:rPr>
        <w:t>4、监督保障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rPr>
        <w:t>局领导高度重视政务公开工作，要求局属各单位、机关各科室以“六提六促”专项行动工作为契机，将其作为本部门推进政务公开工作的新精神、新要求、新理念，进一步加强信息公开工作，全面提高政府信息公开的质量。同时，坚持问题导向，以每季度市、县政务公开监测结果为抓手，找准局信息公开工作薄弱点。从规范性文件清理、重大决策预公开等方面着手，抓文件制定源头，对涉及重大民生问题的重大政策措施，主动通过网络等渠道向社会征求意见。全面排查已公开政府信息，对存在的问题找准症结，认真分析原因，有针对性地制定整改方案，逐项整改销号，确保整改到位。</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i w:val="0"/>
          <w:iCs w:val="0"/>
          <w:caps w:val="0"/>
          <w:color w:val="333333"/>
          <w:spacing w:val="0"/>
          <w:sz w:val="32"/>
          <w:szCs w:val="32"/>
          <w:shd w:val="clear" w:fill="FFFFFF"/>
        </w:rPr>
      </w:pPr>
      <w:r>
        <w:rPr>
          <w:rFonts w:hint="default" w:ascii="黑体" w:hAnsi="黑体" w:eastAsia="黑体" w:cs="黑体"/>
          <w:i w:val="0"/>
          <w:iCs w:val="0"/>
          <w:caps w:val="0"/>
          <w:color w:val="333333"/>
          <w:spacing w:val="0"/>
          <w:sz w:val="32"/>
          <w:szCs w:val="32"/>
          <w:shd w:val="clear" w:fill="FFFFFF"/>
        </w:rPr>
        <w:t>二、主动公开政府信息情况</w:t>
      </w:r>
    </w:p>
    <w:tbl>
      <w:tblPr>
        <w:tblStyle w:val="3"/>
        <w:tblW w:w="0" w:type="auto"/>
        <w:jc w:val="center"/>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shd w:val="clear" w:color="auto" w:fill="auto"/>
        <w:tblLayout w:type="autofit"/>
        <w:tblCellMar>
          <w:top w:w="0" w:type="dxa"/>
          <w:left w:w="0" w:type="dxa"/>
          <w:bottom w:w="0" w:type="dxa"/>
          <w:right w:w="0" w:type="dxa"/>
        </w:tblCellMar>
      </w:tblPr>
      <w:tblGrid>
        <w:gridCol w:w="3120"/>
        <w:gridCol w:w="1875"/>
        <w:gridCol w:w="6"/>
        <w:gridCol w:w="1265"/>
        <w:gridCol w:w="1881"/>
      </w:tblGrid>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shd w:val="clear" w:color="auto" w:fill="auto"/>
          <w:tblCellMar>
            <w:top w:w="0" w:type="dxa"/>
            <w:left w:w="0" w:type="dxa"/>
            <w:bottom w:w="0" w:type="dxa"/>
            <w:right w:w="0" w:type="dxa"/>
          </w:tblCellMar>
        </w:tblPrEx>
        <w:trPr>
          <w:trHeight w:val="52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第二十条第（一）项</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1005"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信息内容</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本年新</w:t>
            </w:r>
            <w:r>
              <w:rPr>
                <w:rFonts w:hint="default" w:ascii="Times New Roman" w:hAnsi="Times New Roman" w:cs="Times New Roman" w:eastAsiaTheme="minorEastAsia"/>
                <w:color w:val="000000"/>
                <w:kern w:val="0"/>
                <w:sz w:val="20"/>
                <w:szCs w:val="20"/>
                <w:lang w:val="en-US" w:eastAsia="zh-CN" w:bidi="ar"/>
              </w:rPr>
              <w:br w:type="textWrapping"/>
            </w:r>
            <w:r>
              <w:rPr>
                <w:rFonts w:hint="eastAsia" w:ascii="仿宋" w:hAnsi="仿宋" w:eastAsia="仿宋" w:cs="仿宋"/>
                <w:kern w:val="0"/>
                <w:sz w:val="20"/>
                <w:szCs w:val="20"/>
                <w:lang w:val="en-US" w:eastAsia="zh-CN" w:bidi="ar"/>
              </w:rPr>
              <w:t>制作数量</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本年新</w:t>
            </w:r>
            <w:r>
              <w:rPr>
                <w:rFonts w:hint="default" w:ascii="Times New Roman" w:hAnsi="Times New Roman" w:cs="Times New Roman" w:eastAsiaTheme="minorEastAsia"/>
                <w:color w:val="000000"/>
                <w:kern w:val="0"/>
                <w:sz w:val="20"/>
                <w:szCs w:val="20"/>
                <w:lang w:val="en-US" w:eastAsia="zh-CN" w:bidi="ar"/>
              </w:rPr>
              <w:br w:type="textWrapping"/>
            </w:r>
            <w:r>
              <w:rPr>
                <w:rFonts w:hint="eastAsia" w:ascii="仿宋" w:hAnsi="仿宋" w:eastAsia="仿宋" w:cs="仿宋"/>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对外公开总数量</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645"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60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51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第二十条第（五）项</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765"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信息内容</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上一年项目数量</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本年增</w:t>
            </w:r>
            <w:r>
              <w:rPr>
                <w:rFonts w:hint="default" w:ascii="Times New Roman" w:hAnsi="Times New Roman" w:cs="Times New Roman" w:eastAsiaTheme="minorEastAsia"/>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处理决定数量</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66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9</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149</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675"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23</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-6</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719</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435"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第二十条第（六）项</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765"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信息内容</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上一年项目数量</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本年增</w:t>
            </w:r>
            <w:r>
              <w:rPr>
                <w:rFonts w:hint="default" w:ascii="Times New Roman" w:hAnsi="Times New Roman" w:cs="Times New Roman" w:eastAsiaTheme="minorEastAsia"/>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处理决定数量</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555"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11</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92</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54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1</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51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第二十条第（八）项</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36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上一年项目数量</w:t>
            </w:r>
          </w:p>
        </w:tc>
        <w:tc>
          <w:tcPr>
            <w:tcW w:w="31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本年增</w:t>
            </w:r>
            <w:r>
              <w:rPr>
                <w:rFonts w:hint="default" w:ascii="Times New Roman" w:hAnsi="Times New Roman" w:cs="Times New Roman" w:eastAsiaTheme="minorEastAsia"/>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减</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645"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0</w:t>
            </w:r>
          </w:p>
        </w:tc>
        <w:tc>
          <w:tcPr>
            <w:tcW w:w="31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51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第二十条第（九）项</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675"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采购项目数量</w:t>
            </w:r>
          </w:p>
        </w:tc>
        <w:tc>
          <w:tcPr>
            <w:tcW w:w="31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采购总金额</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63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11个</w:t>
            </w:r>
          </w:p>
        </w:tc>
        <w:tc>
          <w:tcPr>
            <w:tcW w:w="31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4"/>
                <w:szCs w:val="24"/>
                <w:lang w:val="en-US" w:eastAsia="zh-CN" w:bidi="ar"/>
              </w:rPr>
              <w:t>31753元</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181" w:hRule="atLeast"/>
          <w:jc w:val="center"/>
        </w:trPr>
        <w:tc>
          <w:tcPr>
            <w:tcW w:w="3120" w:type="dxa"/>
            <w:shd w:val="clear" w:color="auto" w:fill="auto"/>
            <w:vAlign w:val="center"/>
          </w:tcPr>
          <w:p>
            <w:pPr>
              <w:rPr>
                <w:rFonts w:hint="eastAsia" w:ascii="宋体"/>
                <w:sz w:val="24"/>
                <w:szCs w:val="24"/>
              </w:rPr>
            </w:pPr>
          </w:p>
        </w:tc>
        <w:tc>
          <w:tcPr>
            <w:tcW w:w="1875" w:type="dxa"/>
            <w:shd w:val="clear" w:color="auto" w:fill="auto"/>
            <w:vAlign w:val="center"/>
          </w:tcPr>
          <w:p>
            <w:pPr>
              <w:rPr>
                <w:rFonts w:hint="eastAsia" w:ascii="宋体"/>
                <w:sz w:val="24"/>
                <w:szCs w:val="24"/>
              </w:rPr>
            </w:pPr>
          </w:p>
        </w:tc>
        <w:tc>
          <w:tcPr>
            <w:tcW w:w="6" w:type="dxa"/>
            <w:shd w:val="clear" w:color="auto" w:fill="auto"/>
            <w:vAlign w:val="center"/>
          </w:tcPr>
          <w:p>
            <w:pPr>
              <w:rPr>
                <w:rFonts w:hint="eastAsia" w:ascii="宋体"/>
                <w:sz w:val="24"/>
                <w:szCs w:val="24"/>
              </w:rPr>
            </w:pPr>
          </w:p>
        </w:tc>
        <w:tc>
          <w:tcPr>
            <w:tcW w:w="1260" w:type="dxa"/>
            <w:shd w:val="clear" w:color="auto" w:fill="auto"/>
            <w:vAlign w:val="center"/>
          </w:tcPr>
          <w:p>
            <w:pPr>
              <w:rPr>
                <w:rFonts w:hint="eastAsia" w:ascii="宋体"/>
                <w:sz w:val="24"/>
                <w:szCs w:val="24"/>
              </w:rPr>
            </w:pPr>
          </w:p>
        </w:tc>
        <w:tc>
          <w:tcPr>
            <w:tcW w:w="1875" w:type="dxa"/>
            <w:shd w:val="clear" w:color="auto" w:fill="auto"/>
            <w:vAlign w:val="center"/>
          </w:tcPr>
          <w:p>
            <w:pPr>
              <w:rPr>
                <w:rFonts w:hint="eastAsia" w:ascii="宋体"/>
                <w:sz w:val="24"/>
                <w:szCs w:val="24"/>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黑体" w:hAnsi="黑体" w:eastAsia="黑体" w:cs="黑体"/>
          <w:i w:val="0"/>
          <w:iCs w:val="0"/>
          <w:caps w:val="0"/>
          <w:color w:val="333333"/>
          <w:spacing w:val="0"/>
          <w:sz w:val="32"/>
          <w:szCs w:val="32"/>
          <w:shd w:val="clear" w:fill="FFFFFF"/>
        </w:rPr>
      </w:pPr>
      <w:r>
        <w:rPr>
          <w:rFonts w:hint="default" w:ascii="黑体" w:hAnsi="黑体" w:eastAsia="黑体" w:cs="黑体"/>
          <w:i w:val="0"/>
          <w:iCs w:val="0"/>
          <w:caps w:val="0"/>
          <w:color w:val="333333"/>
          <w:spacing w:val="0"/>
          <w:sz w:val="32"/>
          <w:szCs w:val="32"/>
          <w:shd w:val="clear" w:fill="FFFFFF"/>
        </w:rPr>
        <w:t>三、收到和处理政府信息公开申请情况</w:t>
      </w:r>
    </w:p>
    <w:tbl>
      <w:tblPr>
        <w:tblStyle w:val="3"/>
        <w:tblW w:w="0" w:type="auto"/>
        <w:jc w:val="center"/>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shd w:val="clear" w:color="auto" w:fill="auto"/>
        <w:tblLayout w:type="autofit"/>
        <w:tblCellMar>
          <w:top w:w="0" w:type="dxa"/>
          <w:left w:w="0" w:type="dxa"/>
          <w:bottom w:w="0" w:type="dxa"/>
          <w:right w:w="0" w:type="dxa"/>
        </w:tblCellMar>
      </w:tblPr>
      <w:tblGrid>
        <w:gridCol w:w="616"/>
        <w:gridCol w:w="849"/>
        <w:gridCol w:w="2067"/>
        <w:gridCol w:w="575"/>
        <w:gridCol w:w="711"/>
        <w:gridCol w:w="711"/>
        <w:gridCol w:w="761"/>
        <w:gridCol w:w="901"/>
        <w:gridCol w:w="673"/>
        <w:gridCol w:w="658"/>
      </w:tblGrid>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shd w:val="clear" w:color="auto" w:fill="auto"/>
          <w:tblCellMar>
            <w:top w:w="0" w:type="dxa"/>
            <w:left w:w="0" w:type="dxa"/>
            <w:bottom w:w="0" w:type="dxa"/>
            <w:right w:w="0" w:type="dxa"/>
          </w:tblCellMar>
        </w:tblPrEx>
        <w:trPr>
          <w:jc w:val="center"/>
        </w:trPr>
        <w:tc>
          <w:tcPr>
            <w:tcW w:w="3771"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（本列数据的勾稽关系为：第一项加第二项之和，等于第三项加第四项之和）</w:t>
            </w:r>
          </w:p>
        </w:tc>
        <w:tc>
          <w:tcPr>
            <w:tcW w:w="5300"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申请人情况</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377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9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自然人</w:t>
            </w:r>
          </w:p>
        </w:tc>
        <w:tc>
          <w:tcPr>
            <w:tcW w:w="4007"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法人或其他组织</w:t>
            </w:r>
          </w:p>
        </w:tc>
        <w:tc>
          <w:tcPr>
            <w:tcW w:w="69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总计</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trHeight w:val="751" w:hRule="atLeast"/>
          <w:jc w:val="center"/>
        </w:trPr>
        <w:tc>
          <w:tcPr>
            <w:tcW w:w="3771"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9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科研机构</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社会公益组织</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法律服务机构</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其他</w:t>
            </w:r>
          </w:p>
        </w:tc>
        <w:tc>
          <w:tcPr>
            <w:tcW w:w="69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一、本年新收政府信息公开申请数量</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1</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1</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二、上年结转政府信息公开申请数量</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三、本年度办理结果</w:t>
            </w:r>
          </w:p>
        </w:tc>
        <w:tc>
          <w:tcPr>
            <w:tcW w:w="31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ascii="楷体" w:hAnsi="楷体" w:eastAsia="楷体" w:cs="楷体"/>
                <w:kern w:val="0"/>
                <w:sz w:val="20"/>
                <w:szCs w:val="20"/>
                <w:lang w:val="en-US" w:eastAsia="zh-CN" w:bidi="ar"/>
              </w:rPr>
              <w:t>（一）予以公开</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1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楷体" w:hAnsi="楷体" w:eastAsia="楷体" w:cs="楷体"/>
                <w:kern w:val="0"/>
                <w:sz w:val="20"/>
                <w:szCs w:val="20"/>
                <w:lang w:val="en-US" w:eastAsia="zh-CN" w:bidi="ar"/>
              </w:rPr>
              <w:t>（二）部分公开（区分处理的，只计这一情形，不计其他情形）</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楷体" w:hAnsi="楷体" w:eastAsia="楷体" w:cs="楷体"/>
                <w:kern w:val="0"/>
                <w:sz w:val="20"/>
                <w:szCs w:val="20"/>
                <w:lang w:val="en-US" w:eastAsia="zh-CN" w:bidi="ar"/>
              </w:rPr>
              <w:t>（三）不予公开</w:t>
            </w: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1.</w:t>
            </w:r>
            <w:r>
              <w:rPr>
                <w:rFonts w:hint="eastAsia" w:ascii="楷体" w:hAnsi="楷体" w:eastAsia="楷体" w:cs="楷体"/>
                <w:kern w:val="0"/>
                <w:sz w:val="20"/>
                <w:szCs w:val="20"/>
                <w:lang w:val="en-US" w:eastAsia="zh-CN" w:bidi="ar"/>
              </w:rPr>
              <w:t>属于国家秘密</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2.</w:t>
            </w:r>
            <w:r>
              <w:rPr>
                <w:rFonts w:hint="eastAsia" w:ascii="楷体" w:hAnsi="楷体" w:eastAsia="楷体" w:cs="楷体"/>
                <w:kern w:val="0"/>
                <w:sz w:val="20"/>
                <w:szCs w:val="20"/>
                <w:lang w:val="en-US" w:eastAsia="zh-CN" w:bidi="ar"/>
              </w:rPr>
              <w:t>其他法律行政法规禁止公开</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3.</w:t>
            </w:r>
            <w:r>
              <w:rPr>
                <w:rFonts w:hint="eastAsia" w:ascii="楷体" w:hAnsi="楷体" w:eastAsia="楷体" w:cs="楷体"/>
                <w:kern w:val="0"/>
                <w:sz w:val="20"/>
                <w:szCs w:val="20"/>
                <w:lang w:val="en-US" w:eastAsia="zh-CN" w:bidi="ar"/>
              </w:rPr>
              <w:t>危及</w:t>
            </w:r>
            <w:r>
              <w:rPr>
                <w:rFonts w:hint="default" w:ascii="Times New Roman" w:hAnsi="Times New Roman" w:cs="Times New Roman" w:eastAsiaTheme="minorEastAsia"/>
                <w:kern w:val="0"/>
                <w:sz w:val="20"/>
                <w:szCs w:val="20"/>
                <w:lang w:val="en-US" w:eastAsia="zh-CN" w:bidi="ar"/>
              </w:rPr>
              <w:t>“</w:t>
            </w:r>
            <w:r>
              <w:rPr>
                <w:rFonts w:hint="eastAsia" w:ascii="楷体" w:hAnsi="楷体" w:eastAsia="楷体" w:cs="楷体"/>
                <w:kern w:val="0"/>
                <w:sz w:val="20"/>
                <w:szCs w:val="20"/>
                <w:lang w:val="en-US" w:eastAsia="zh-CN" w:bidi="ar"/>
              </w:rPr>
              <w:t>三安全一稳定</w:t>
            </w:r>
            <w:r>
              <w:rPr>
                <w:rFonts w:hint="default" w:ascii="Times New Roman" w:hAnsi="Times New Roman" w:cs="Times New Roman" w:eastAsiaTheme="minorEastAsia"/>
                <w:kern w:val="0"/>
                <w:sz w:val="20"/>
                <w:szCs w:val="20"/>
                <w:lang w:val="en-US" w:eastAsia="zh-CN" w:bidi="ar"/>
              </w:rPr>
              <w:t>”</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4.</w:t>
            </w:r>
            <w:r>
              <w:rPr>
                <w:rFonts w:hint="eastAsia" w:ascii="楷体" w:hAnsi="楷体" w:eastAsia="楷体" w:cs="楷体"/>
                <w:kern w:val="0"/>
                <w:sz w:val="20"/>
                <w:szCs w:val="20"/>
                <w:lang w:val="en-US" w:eastAsia="zh-CN" w:bidi="ar"/>
              </w:rPr>
              <w:t>保护第三方合法权益</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5.</w:t>
            </w:r>
            <w:r>
              <w:rPr>
                <w:rFonts w:hint="eastAsia" w:ascii="楷体" w:hAnsi="楷体" w:eastAsia="楷体" w:cs="楷体"/>
                <w:kern w:val="0"/>
                <w:sz w:val="20"/>
                <w:szCs w:val="20"/>
                <w:lang w:val="en-US" w:eastAsia="zh-CN" w:bidi="ar"/>
              </w:rPr>
              <w:t>属于三类内部事务信息</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6.</w:t>
            </w:r>
            <w:r>
              <w:rPr>
                <w:rFonts w:hint="eastAsia" w:ascii="楷体" w:hAnsi="楷体" w:eastAsia="楷体" w:cs="楷体"/>
                <w:kern w:val="0"/>
                <w:sz w:val="20"/>
                <w:szCs w:val="20"/>
                <w:lang w:val="en-US" w:eastAsia="zh-CN" w:bidi="ar"/>
              </w:rPr>
              <w:t>属于四类过程性信息</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7.</w:t>
            </w:r>
            <w:r>
              <w:rPr>
                <w:rFonts w:hint="eastAsia" w:ascii="楷体" w:hAnsi="楷体" w:eastAsia="楷体" w:cs="楷体"/>
                <w:kern w:val="0"/>
                <w:sz w:val="20"/>
                <w:szCs w:val="20"/>
                <w:lang w:val="en-US" w:eastAsia="zh-CN" w:bidi="ar"/>
              </w:rPr>
              <w:t>属于行政执法案卷</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8.</w:t>
            </w:r>
            <w:r>
              <w:rPr>
                <w:rFonts w:hint="eastAsia" w:ascii="楷体" w:hAnsi="楷体" w:eastAsia="楷体" w:cs="楷体"/>
                <w:kern w:val="0"/>
                <w:sz w:val="20"/>
                <w:szCs w:val="20"/>
                <w:lang w:val="en-US" w:eastAsia="zh-CN" w:bidi="ar"/>
              </w:rPr>
              <w:t>属于行政查询事项</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楷体" w:hAnsi="楷体" w:eastAsia="楷体" w:cs="楷体"/>
                <w:kern w:val="0"/>
                <w:sz w:val="20"/>
                <w:szCs w:val="20"/>
                <w:lang w:val="en-US" w:eastAsia="zh-CN" w:bidi="ar"/>
              </w:rPr>
              <w:t>（四）无法提供</w:t>
            </w: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1.</w:t>
            </w:r>
            <w:r>
              <w:rPr>
                <w:rFonts w:hint="eastAsia" w:ascii="楷体" w:hAnsi="楷体" w:eastAsia="楷体" w:cs="楷体"/>
                <w:kern w:val="0"/>
                <w:sz w:val="20"/>
                <w:szCs w:val="20"/>
                <w:lang w:val="en-US" w:eastAsia="zh-CN" w:bidi="ar"/>
              </w:rPr>
              <w:t>本机关不掌握相关政府信息</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1</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1</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2.</w:t>
            </w:r>
            <w:r>
              <w:rPr>
                <w:rFonts w:hint="eastAsia" w:ascii="楷体" w:hAnsi="楷体" w:eastAsia="楷体" w:cs="楷体"/>
                <w:kern w:val="0"/>
                <w:sz w:val="20"/>
                <w:szCs w:val="20"/>
                <w:lang w:val="en-US" w:eastAsia="zh-CN" w:bidi="ar"/>
              </w:rPr>
              <w:t>没有现成信息需要另行制作</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3.</w:t>
            </w:r>
            <w:r>
              <w:rPr>
                <w:rFonts w:hint="eastAsia" w:ascii="楷体" w:hAnsi="楷体" w:eastAsia="楷体" w:cs="楷体"/>
                <w:kern w:val="0"/>
                <w:sz w:val="20"/>
                <w:szCs w:val="20"/>
                <w:lang w:val="en-US" w:eastAsia="zh-CN" w:bidi="ar"/>
              </w:rPr>
              <w:t>补正后申请内容仍不明确</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楷体" w:hAnsi="楷体" w:eastAsia="楷体" w:cs="楷体"/>
                <w:kern w:val="0"/>
                <w:sz w:val="20"/>
                <w:szCs w:val="20"/>
                <w:lang w:val="en-US" w:eastAsia="zh-CN" w:bidi="ar"/>
              </w:rPr>
              <w:t>（五）不予处理</w:t>
            </w: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1.</w:t>
            </w:r>
            <w:r>
              <w:rPr>
                <w:rFonts w:hint="eastAsia" w:ascii="楷体" w:hAnsi="楷体" w:eastAsia="楷体" w:cs="楷体"/>
                <w:kern w:val="0"/>
                <w:sz w:val="20"/>
                <w:szCs w:val="20"/>
                <w:lang w:val="en-US" w:eastAsia="zh-CN" w:bidi="ar"/>
              </w:rPr>
              <w:t>信访举报投诉类申请</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2.</w:t>
            </w:r>
            <w:r>
              <w:rPr>
                <w:rFonts w:hint="eastAsia" w:ascii="楷体" w:hAnsi="楷体" w:eastAsia="楷体" w:cs="楷体"/>
                <w:kern w:val="0"/>
                <w:sz w:val="20"/>
                <w:szCs w:val="20"/>
                <w:lang w:val="en-US" w:eastAsia="zh-CN" w:bidi="ar"/>
              </w:rPr>
              <w:t>重复申请</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3.</w:t>
            </w:r>
            <w:r>
              <w:rPr>
                <w:rFonts w:hint="eastAsia" w:ascii="楷体" w:hAnsi="楷体" w:eastAsia="楷体" w:cs="楷体"/>
                <w:kern w:val="0"/>
                <w:sz w:val="20"/>
                <w:szCs w:val="20"/>
                <w:lang w:val="en-US" w:eastAsia="zh-CN" w:bidi="ar"/>
              </w:rPr>
              <w:t>要求提供公开出版物</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4.</w:t>
            </w:r>
            <w:r>
              <w:rPr>
                <w:rFonts w:hint="eastAsia" w:ascii="楷体" w:hAnsi="楷体" w:eastAsia="楷体" w:cs="楷体"/>
                <w:kern w:val="0"/>
                <w:sz w:val="20"/>
                <w:szCs w:val="20"/>
                <w:lang w:val="en-US" w:eastAsia="zh-CN" w:bidi="ar"/>
              </w:rPr>
              <w:t>无正当理由大量反复申请</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5.</w:t>
            </w:r>
            <w:r>
              <w:rPr>
                <w:rFonts w:hint="eastAsia" w:ascii="楷体" w:hAnsi="楷体" w:eastAsia="楷体" w:cs="楷体"/>
                <w:kern w:val="0"/>
                <w:sz w:val="20"/>
                <w:szCs w:val="20"/>
                <w:lang w:val="en-US" w:eastAsia="zh-CN" w:bidi="ar"/>
              </w:rPr>
              <w:t>要求行政机关确认或重新出具已获取信息</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1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楷体" w:hAnsi="楷体" w:eastAsia="楷体" w:cs="楷体"/>
                <w:kern w:val="0"/>
                <w:sz w:val="20"/>
                <w:szCs w:val="20"/>
                <w:lang w:val="en-US" w:eastAsia="zh-CN" w:bidi="ar"/>
              </w:rPr>
              <w:t>（六）其他处理</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1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楷体" w:hAnsi="楷体" w:eastAsia="楷体" w:cs="楷体"/>
                <w:kern w:val="0"/>
                <w:sz w:val="20"/>
                <w:szCs w:val="20"/>
                <w:lang w:val="en-US" w:eastAsia="zh-CN" w:bidi="ar"/>
              </w:rPr>
              <w:t>（七）总计</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1</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1</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四、结转下年度继续办理</w:t>
            </w:r>
          </w:p>
        </w:tc>
        <w:tc>
          <w:tcPr>
            <w:tcW w:w="5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4"/>
                <w:szCs w:val="24"/>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黑体" w:hAnsi="黑体" w:eastAsia="黑体" w:cs="黑体"/>
          <w:i w:val="0"/>
          <w:iCs w:val="0"/>
          <w:caps w:val="0"/>
          <w:color w:val="333333"/>
          <w:spacing w:val="0"/>
          <w:sz w:val="32"/>
          <w:szCs w:val="32"/>
          <w:shd w:val="clear" w:fill="FFFFFF"/>
        </w:rPr>
      </w:pPr>
      <w:r>
        <w:rPr>
          <w:rFonts w:hint="default" w:ascii="黑体" w:hAnsi="黑体" w:eastAsia="黑体" w:cs="黑体"/>
          <w:i w:val="0"/>
          <w:iCs w:val="0"/>
          <w:caps w:val="0"/>
          <w:color w:val="333333"/>
          <w:spacing w:val="0"/>
          <w:sz w:val="32"/>
          <w:szCs w:val="32"/>
          <w:shd w:val="clear" w:fill="FFFFFF"/>
        </w:rPr>
        <w:t>四、政府信息公开行政复议、行政诉讼情况</w:t>
      </w:r>
    </w:p>
    <w:tbl>
      <w:tblPr>
        <w:tblStyle w:val="3"/>
        <w:tblW w:w="0" w:type="auto"/>
        <w:jc w:val="center"/>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shd w:val="clear" w:color="auto" w:fill="auto"/>
        <w:tblLayout w:type="autofit"/>
        <w:tblCellMar>
          <w:top w:w="0" w:type="dxa"/>
          <w:left w:w="0" w:type="dxa"/>
          <w:bottom w:w="0" w:type="dxa"/>
          <w:right w:w="0" w:type="dxa"/>
        </w:tblCellMar>
      </w:tblPr>
      <w:tblGrid>
        <w:gridCol w:w="568"/>
        <w:gridCol w:w="568"/>
        <w:gridCol w:w="568"/>
        <w:gridCol w:w="568"/>
        <w:gridCol w:w="611"/>
        <w:gridCol w:w="524"/>
        <w:gridCol w:w="568"/>
        <w:gridCol w:w="568"/>
        <w:gridCol w:w="568"/>
        <w:gridCol w:w="568"/>
        <w:gridCol w:w="568"/>
        <w:gridCol w:w="568"/>
        <w:gridCol w:w="568"/>
        <w:gridCol w:w="569"/>
        <w:gridCol w:w="570"/>
      </w:tblGrid>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行政诉讼</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结果纠正</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其他结果</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尚未审结</w:t>
            </w:r>
          </w:p>
        </w:tc>
        <w:tc>
          <w:tcPr>
            <w:tcW w:w="65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总计</w:t>
            </w:r>
          </w:p>
        </w:tc>
        <w:tc>
          <w:tcPr>
            <w:tcW w:w="297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未经复议直接起诉</w:t>
            </w:r>
          </w:p>
        </w:tc>
        <w:tc>
          <w:tcPr>
            <w:tcW w:w="3027"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复议后起诉</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结果纠正</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其他结果</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尚未审结</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总计</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结果纠正</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其他结果</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kern w:val="0"/>
                <w:sz w:val="20"/>
                <w:szCs w:val="20"/>
                <w:lang w:val="en-US" w:eastAsia="zh-CN" w:bidi="ar"/>
              </w:rPr>
              <w:t>尚未审结</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color w:val="000000"/>
                <w:kern w:val="0"/>
                <w:sz w:val="20"/>
                <w:szCs w:val="20"/>
                <w:lang w:val="en-US" w:eastAsia="zh-CN" w:bidi="ar"/>
              </w:rPr>
              <w:t>总计</w:t>
            </w:r>
          </w:p>
        </w:tc>
      </w:tr>
      <w:tr>
        <w:tblPrEx>
          <w:tblBorders>
            <w:top w:val="single" w:color="000000" w:sz="2" w:space="0"/>
            <w:left w:val="single" w:color="000000" w:sz="2" w:space="0"/>
            <w:bottom w:val="single" w:color="000000" w:sz="2" w:space="0"/>
            <w:right w:val="single" w:color="000000" w:sz="2" w:space="0"/>
            <w:insideH w:val="none" w:color="000000" w:sz="0" w:space="0"/>
            <w:insideV w:val="none" w:color="000000" w:sz="0"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4"/>
                <w:szCs w:val="24"/>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黑体" w:hAnsi="黑体" w:eastAsia="黑体" w:cs="黑体"/>
          <w:i w:val="0"/>
          <w:iCs w:val="0"/>
          <w:caps w:val="0"/>
          <w:color w:val="333333"/>
          <w:spacing w:val="0"/>
          <w:sz w:val="32"/>
          <w:szCs w:val="32"/>
          <w:shd w:val="clear" w:fill="FFFFFF"/>
        </w:rPr>
      </w:pPr>
      <w:r>
        <w:rPr>
          <w:rFonts w:hint="default" w:ascii="黑体" w:hAnsi="黑体" w:eastAsia="黑体" w:cs="黑体"/>
          <w:i w:val="0"/>
          <w:iCs w:val="0"/>
          <w:caps w:val="0"/>
          <w:color w:val="333333"/>
          <w:spacing w:val="0"/>
          <w:sz w:val="32"/>
          <w:szCs w:val="32"/>
          <w:shd w:val="clear"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rPr>
        <w:t>2020年，我局政务公开工作虽然取得了一些成绩，但与保障人民群众知情、参与和监督的实际需求相比，还存在一定差距，主要表现为三个方面：一是制度机制建设不完善，推进公开工作的标准化规范化建设不够。我局通过完善政务公开工作制度和两化目录体系，进一步夯实了工作基础。二是重点领域信息公开时效性不强、质量不高、内容不全等问题仍然不同程度存在。为了强化重点领域信息公开，我局进一步明确了各科室承担重点领域信息公开的职责和工作任务，对相关薄弱栏目信息进行补充。三是部分科室对基层政务公开意识不强，对群众关心关注的信息公开不及时、不全面、公开方式单一。针对此问题，我局及时召开了科室负责人会议，再次深入学习《中华人民共和国政府信息公开条例》等政策法规，并要求局属各部门要选择群众喜闻乐见的公开形式，进一步拓展和深化政府信息公开的内容和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rPr>
        <w:t>下一步，我们将进一步健全政务公开工作制度，推进政务公开标准化规范化建设，更新完善组配目录。积极推进政务信息公开公众参与度，提高政策解读质量，加强舆情回应工作，及时回应社会关切，让社会公众能更加快速便捷获取政务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六、其他</w:t>
      </w:r>
      <w:r>
        <w:rPr>
          <w:rFonts w:hint="eastAsia" w:ascii="黑体" w:hAnsi="黑体" w:eastAsia="黑体" w:cs="黑体"/>
          <w:i w:val="0"/>
          <w:iCs w:val="0"/>
          <w:caps w:val="0"/>
          <w:color w:val="333333"/>
          <w:spacing w:val="0"/>
          <w:sz w:val="32"/>
          <w:szCs w:val="32"/>
          <w:shd w:val="clear" w:fill="FFFFFF"/>
        </w:rPr>
        <w:t>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iCs w:val="0"/>
          <w:caps w:val="0"/>
          <w:color w:val="333333"/>
          <w:spacing w:val="0"/>
          <w:sz w:val="32"/>
          <w:szCs w:val="32"/>
          <w:shd w:val="clear" w:fill="FFFFFF"/>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YjdkZWM1MGVjZDU2ZThmZmJhOWFkY2JhNWFhYjIifQ=="/>
  </w:docVars>
  <w:rsids>
    <w:rsidRoot w:val="09870374"/>
    <w:rsid w:val="09870374"/>
    <w:rsid w:val="0B0D0E79"/>
    <w:rsid w:val="0E860342"/>
    <w:rsid w:val="243E3D12"/>
    <w:rsid w:val="295D022F"/>
    <w:rsid w:val="370C5A0B"/>
    <w:rsid w:val="3C263033"/>
    <w:rsid w:val="4129186F"/>
    <w:rsid w:val="43CB124B"/>
    <w:rsid w:val="4672099E"/>
    <w:rsid w:val="4D3C4BD6"/>
    <w:rsid w:val="4F8C297D"/>
    <w:rsid w:val="57E5010E"/>
    <w:rsid w:val="5E5E1703"/>
    <w:rsid w:val="60677708"/>
    <w:rsid w:val="6FB1183D"/>
    <w:rsid w:val="71811A05"/>
    <w:rsid w:val="77C704FB"/>
    <w:rsid w:val="7AC52566"/>
    <w:rsid w:val="7AF558FC"/>
    <w:rsid w:val="7BC0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2024-07-02T07:01:00Z</dcterms:created>
  <dc:creator>gyb1</dc:creator>
  <cp:lastModifiedBy>gyb1</cp:lastModifiedBy>
  <dcterms:modified xsi:type="dcterms:W3CDTF">2024-07-02T07:29:06Z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29A2830305A64268B9DBEC67D0D59F02_11</vt:lpwstr>
  </property>
</Properties>
</file>