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Times New Roman" w:eastAsia="方正小标宋简体" w:cs="Times New Roman"/>
          <w:sz w:val="40"/>
          <w:szCs w:val="44"/>
          <w:lang w:val="en-US" w:eastAsia="zh-CN"/>
        </w:rPr>
      </w:pPr>
      <w:r>
        <w:rPr>
          <w:rFonts w:hint="eastAsia" w:ascii="方正小标宋简体" w:hAnsi="Times New Roman" w:eastAsia="方正小标宋简体" w:cs="Times New Roman"/>
          <w:sz w:val="40"/>
          <w:szCs w:val="44"/>
          <w:lang w:val="en-US" w:eastAsia="zh-CN"/>
        </w:rPr>
        <w:t>金</w:t>
      </w:r>
      <w:r>
        <w:rPr>
          <w:rFonts w:hint="eastAsia" w:ascii="方正小标宋简体" w:hAnsi="Times New Roman" w:eastAsia="方正小标宋简体" w:cs="Times New Roman"/>
          <w:sz w:val="40"/>
          <w:szCs w:val="44"/>
          <w:lang w:val="en-US" w:eastAsia="zh-CN"/>
        </w:rPr>
        <w:t>寨县水利局2021年政府信息公开工作</w:t>
      </w:r>
    </w:p>
    <w:p>
      <w:pPr>
        <w:jc w:val="center"/>
        <w:rPr>
          <w:rFonts w:hint="eastAsia" w:ascii="方正小标宋简体" w:hAnsi="Times New Roman" w:eastAsia="方正小标宋简体" w:cs="Times New Roman"/>
          <w:sz w:val="40"/>
          <w:szCs w:val="44"/>
          <w:lang w:val="en-US" w:eastAsia="zh-CN"/>
        </w:rPr>
      </w:pPr>
      <w:r>
        <w:rPr>
          <w:rFonts w:hint="eastAsia" w:ascii="方正小标宋简体" w:hAnsi="Times New Roman" w:eastAsia="方正小标宋简体" w:cs="Times New Roman"/>
          <w:sz w:val="40"/>
          <w:szCs w:val="44"/>
          <w:lang w:val="en-US" w:eastAsia="zh-CN"/>
        </w:rPr>
        <w:t>年度报告</w:t>
      </w:r>
    </w:p>
    <w:p>
      <w:pPr>
        <w:rPr>
          <w:rFonts w:hint="eastAsia" w:ascii="方正小标宋简体" w:hAnsi="Times New Roman" w:eastAsia="方正小标宋简体" w:cs="Times New Roman"/>
          <w:sz w:val="40"/>
          <w:szCs w:val="4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jc w:val="left"/>
        <w:rPr>
          <w:rFonts w:ascii="微软雅黑" w:hAnsi="微软雅黑" w:eastAsia="微软雅黑" w:cs="微软雅黑"/>
          <w:i w:val="0"/>
          <w:iCs w:val="0"/>
          <w:caps w:val="0"/>
          <w:color w:val="333333"/>
          <w:spacing w:val="0"/>
          <w:sz w:val="21"/>
          <w:szCs w:val="21"/>
        </w:rPr>
      </w:pPr>
      <w:r>
        <w:rPr>
          <w:rFonts w:ascii="仿宋_GB2312" w:hAnsi="微软雅黑" w:eastAsia="仿宋_GB2312" w:cs="仿宋_GB2312"/>
          <w:i w:val="0"/>
          <w:iCs w:val="0"/>
          <w:caps w:val="0"/>
          <w:color w:val="333333"/>
          <w:spacing w:val="0"/>
          <w:kern w:val="0"/>
          <w:sz w:val="30"/>
          <w:szCs w:val="30"/>
          <w:bdr w:val="none" w:color="auto" w:sz="0" w:space="0"/>
          <w:shd w:val="clear" w:fill="FFFFFF"/>
          <w:lang w:val="en-US" w:eastAsia="zh-CN" w:bidi="ar"/>
        </w:rPr>
        <w:t>根据《中华人民共和国政府信息公开条例》（国务院令第</w:t>
      </w:r>
      <w:r>
        <w:rPr>
          <w:rFonts w:hint="eastAsia" w:ascii="仿宋_GB2312" w:hAnsi="微软雅黑" w:eastAsia="仿宋_GB2312" w:cs="仿宋_GB2312"/>
          <w:i w:val="0"/>
          <w:iCs w:val="0"/>
          <w:caps w:val="0"/>
          <w:color w:val="333333"/>
          <w:spacing w:val="0"/>
          <w:kern w:val="0"/>
          <w:sz w:val="30"/>
          <w:szCs w:val="30"/>
          <w:bdr w:val="none" w:color="auto" w:sz="0" w:space="0"/>
          <w:shd w:val="clear" w:fill="FFFFFF"/>
          <w:lang w:val="en-US" w:eastAsia="zh-CN" w:bidi="ar"/>
        </w:rPr>
        <w:t>711号）规定和</w:t>
      </w:r>
      <w:r>
        <w:rPr>
          <w:rFonts w:hint="eastAsia" w:ascii="仿宋_GB2312" w:hAnsi="微软雅黑" w:eastAsia="仿宋_GB2312" w:cs="仿宋_GB2312"/>
          <w:i w:val="0"/>
          <w:iCs w:val="0"/>
          <w:caps w:val="0"/>
          <w:color w:val="000000"/>
          <w:spacing w:val="0"/>
          <w:kern w:val="0"/>
          <w:sz w:val="32"/>
          <w:szCs w:val="32"/>
          <w:bdr w:val="none" w:color="auto" w:sz="0" w:space="0"/>
          <w:shd w:val="clear" w:fill="FFFFFF"/>
          <w:lang w:val="en-US" w:eastAsia="zh-CN" w:bidi="ar"/>
        </w:rPr>
        <w:t>《六安市政务公开办公室关于做好政府信息公开年度报告编制和发布工作的通知》(六政务公开办〔2021]64号)、</w:t>
      </w:r>
      <w:r>
        <w:rPr>
          <w:rFonts w:hint="eastAsia" w:ascii="仿宋_GB2312" w:hAnsi="微软雅黑" w:eastAsia="仿宋_GB2312" w:cs="仿宋_GB2312"/>
          <w:i w:val="0"/>
          <w:iCs w:val="0"/>
          <w:caps w:val="0"/>
          <w:color w:val="333333"/>
          <w:spacing w:val="0"/>
          <w:kern w:val="0"/>
          <w:sz w:val="30"/>
          <w:szCs w:val="30"/>
          <w:bdr w:val="none" w:color="auto" w:sz="0" w:space="0"/>
          <w:shd w:val="clear" w:fill="FFFFFF"/>
          <w:lang w:val="en-US" w:eastAsia="zh-CN" w:bidi="ar"/>
        </w:rPr>
        <w:t>《金寨县政务公开办公室关于做好政府信息公开年度报告编制和发布工作的通知》要求，现发布《金寨县水利局2021年度政府信息公开工作年度报告》。本报告中所列数据的统计期限自2021年1月1日至2021年12月31日，</w:t>
      </w:r>
      <w:r>
        <w:rPr>
          <w:rFonts w:hint="eastAsia" w:ascii="仿宋_GB2312" w:hAnsi="微软雅黑" w:eastAsia="仿宋_GB2312" w:cs="仿宋_GB2312"/>
          <w:i w:val="0"/>
          <w:iCs w:val="0"/>
          <w:caps w:val="0"/>
          <w:color w:val="000000"/>
          <w:spacing w:val="0"/>
          <w:kern w:val="0"/>
          <w:sz w:val="32"/>
          <w:szCs w:val="32"/>
          <w:bdr w:val="none" w:color="auto" w:sz="0" w:space="0"/>
          <w:shd w:val="clear" w:fill="FFFFFF"/>
          <w:lang w:val="en-US" w:eastAsia="zh-CN" w:bidi="ar"/>
        </w:rPr>
        <w:t>报告的电子版可在金寨县信息公开网（https://www.ahjinzhai.gov.cn/public/column/6596441?type=4&amp;action=list）下载</w:t>
      </w:r>
      <w:r>
        <w:rPr>
          <w:rFonts w:hint="eastAsia" w:ascii="仿宋_GB2312" w:hAnsi="微软雅黑" w:eastAsia="仿宋_GB2312" w:cs="仿宋_GB2312"/>
          <w:i w:val="0"/>
          <w:iCs w:val="0"/>
          <w:caps w:val="0"/>
          <w:color w:val="333333"/>
          <w:spacing w:val="0"/>
          <w:kern w:val="0"/>
          <w:sz w:val="30"/>
          <w:szCs w:val="30"/>
          <w:bdr w:val="none" w:color="auto" w:sz="0" w:space="0"/>
          <w:shd w:val="clear" w:fill="FFFFFF"/>
          <w:lang w:val="en-US" w:eastAsia="zh-CN" w:bidi="ar"/>
        </w:rPr>
        <w:t>。如对本年度报告有疑问或有好的意见建议，请与金寨县水利局办公室联系（联系地址：金寨县新城区江环北路水利局301室，邮编:237300；联系电话：0564-7356956；电子邮箱：jzxslj@126.com）。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b/>
          <w:bCs/>
          <w:i w:val="0"/>
          <w:iCs w:val="0"/>
          <w:caps w:val="0"/>
          <w:color w:val="333333"/>
          <w:spacing w:val="0"/>
          <w:kern w:val="0"/>
          <w:sz w:val="30"/>
          <w:szCs w:val="30"/>
          <w:bdr w:val="none" w:color="auto" w:sz="0" w:space="0"/>
          <w:shd w:val="clear" w:fill="FFFFFF"/>
          <w:lang w:val="en-US" w:eastAsia="zh-CN" w:bidi="ar"/>
        </w:rPr>
        <w:t>    一、总体情况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kern w:val="0"/>
          <w:sz w:val="30"/>
          <w:szCs w:val="30"/>
          <w:bdr w:val="none" w:color="auto" w:sz="0" w:space="0"/>
          <w:shd w:val="clear" w:fill="FFFFFF"/>
          <w:lang w:val="en-US" w:eastAsia="zh-CN" w:bidi="ar"/>
        </w:rPr>
        <w:t>2021年，县水利局遵循“以公开为原则，不公开为例外”的要求，进一步推动我局信息公开纵深开展，切实保障人民群众对水利工作的知情权、参与权、表达权和监督权。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kern w:val="0"/>
          <w:sz w:val="30"/>
          <w:szCs w:val="30"/>
          <w:bdr w:val="none" w:color="auto" w:sz="0" w:space="0"/>
          <w:shd w:val="clear" w:fill="FFFFFF"/>
          <w:lang w:val="en-US" w:eastAsia="zh-CN" w:bidi="ar"/>
        </w:rPr>
        <w:t>    </w:t>
      </w:r>
      <w:r>
        <w:rPr>
          <w:rFonts w:hint="eastAsia" w:ascii="仿宋_GB2312" w:hAnsi="微软雅黑" w:eastAsia="仿宋_GB2312" w:cs="仿宋_GB2312"/>
          <w:b/>
          <w:bCs/>
          <w:i w:val="0"/>
          <w:iCs w:val="0"/>
          <w:caps w:val="0"/>
          <w:color w:val="000000"/>
          <w:spacing w:val="0"/>
          <w:kern w:val="0"/>
          <w:sz w:val="28"/>
          <w:szCs w:val="28"/>
          <w:bdr w:val="none" w:color="auto" w:sz="0" w:space="0"/>
          <w:shd w:val="clear" w:fill="FFFFFF"/>
          <w:lang w:val="en-US" w:eastAsia="zh-CN" w:bidi="ar"/>
        </w:rPr>
        <w:t>（一）主动公开情况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kern w:val="0"/>
          <w:sz w:val="30"/>
          <w:szCs w:val="30"/>
          <w:bdr w:val="none" w:color="auto" w:sz="0" w:space="0"/>
          <w:shd w:val="clear" w:fill="FFFFFF"/>
          <w:lang w:val="en-US" w:eastAsia="zh-CN" w:bidi="ar"/>
        </w:rPr>
        <w:t>2021年，县水利局在信息公开专栏主动公开政府信息333条。其中，建议提案办理6条，年度财政预决算及“三公”经费情况16条，行政权力运行86条，重点领域信息公开14条，新闻发布信息公开6条，政策解读21条，回应关切15条，监督保障16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b/>
          <w:bCs/>
          <w:i w:val="0"/>
          <w:iCs w:val="0"/>
          <w:caps w:val="0"/>
          <w:color w:val="000000"/>
          <w:spacing w:val="0"/>
          <w:kern w:val="0"/>
          <w:sz w:val="28"/>
          <w:szCs w:val="28"/>
          <w:bdr w:val="none" w:color="auto" w:sz="0" w:space="0"/>
          <w:shd w:val="clear" w:fill="FFFFFF"/>
          <w:lang w:val="en-US" w:eastAsia="zh-CN" w:bidi="ar"/>
        </w:rPr>
        <w:t>（二）依申请公开情况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sz w:val="30"/>
          <w:szCs w:val="30"/>
          <w:bdr w:val="none" w:color="auto" w:sz="0" w:space="0"/>
          <w:shd w:val="clear" w:fill="FFFFFF"/>
        </w:rPr>
        <w:t>2021年11月12日，参加了全市依申请公开平台数据迁移工作推进会，</w:t>
      </w:r>
      <w:r>
        <w:rPr>
          <w:rFonts w:hint="eastAsia" w:ascii="仿宋_GB2312" w:hAnsi="微软雅黑" w:eastAsia="仿宋_GB2312" w:cs="仿宋_GB2312"/>
          <w:i w:val="0"/>
          <w:iCs w:val="0"/>
          <w:caps w:val="0"/>
          <w:color w:val="333333"/>
          <w:spacing w:val="0"/>
          <w:sz w:val="32"/>
          <w:szCs w:val="32"/>
          <w:bdr w:val="none" w:color="auto" w:sz="0" w:space="0"/>
          <w:shd w:val="clear" w:fill="FFFFFF"/>
        </w:rPr>
        <w:t>完成了老平台线上数据转移，将线下依申请公开办件同步录入新平台</w:t>
      </w:r>
      <w:r>
        <w:rPr>
          <w:rFonts w:ascii="仿宋" w:hAnsi="仿宋" w:eastAsia="仿宋" w:cs="仿宋"/>
          <w:i w:val="0"/>
          <w:iCs w:val="0"/>
          <w:caps w:val="0"/>
          <w:color w:val="333333"/>
          <w:spacing w:val="0"/>
          <w:sz w:val="32"/>
          <w:szCs w:val="32"/>
          <w:bdr w:val="none" w:color="auto" w:sz="0" w:space="0"/>
          <w:shd w:val="clear" w:fill="FFFFFF"/>
        </w:rPr>
        <w:t>，</w:t>
      </w:r>
      <w:r>
        <w:rPr>
          <w:rFonts w:hint="eastAsia" w:ascii="仿宋" w:hAnsi="仿宋" w:eastAsia="仿宋" w:cs="仿宋"/>
          <w:i w:val="0"/>
          <w:iCs w:val="0"/>
          <w:caps w:val="0"/>
          <w:color w:val="333333"/>
          <w:spacing w:val="0"/>
          <w:sz w:val="32"/>
          <w:szCs w:val="32"/>
          <w:bdr w:val="none" w:color="auto" w:sz="0" w:space="0"/>
          <w:shd w:val="clear" w:fill="FFFFFF"/>
        </w:rPr>
        <w:t>未收到依申请公开申请事项。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b/>
          <w:bCs/>
          <w:i w:val="0"/>
          <w:iCs w:val="0"/>
          <w:caps w:val="0"/>
          <w:color w:val="000000"/>
          <w:spacing w:val="0"/>
          <w:kern w:val="0"/>
          <w:sz w:val="28"/>
          <w:szCs w:val="28"/>
          <w:bdr w:val="none" w:color="auto" w:sz="0" w:space="0"/>
          <w:shd w:val="clear" w:fill="FFFFFF"/>
          <w:lang w:val="en-US" w:eastAsia="zh-CN" w:bidi="ar"/>
        </w:rPr>
        <w:t>（三）政府信息管理情况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kern w:val="0"/>
          <w:sz w:val="30"/>
          <w:szCs w:val="30"/>
          <w:bdr w:val="none" w:color="auto" w:sz="0" w:space="0"/>
          <w:shd w:val="clear" w:fill="FFFFFF"/>
          <w:lang w:val="en-US" w:eastAsia="zh-CN" w:bidi="ar"/>
        </w:rPr>
        <w:t>进一步明确政务公开工作责任，针对县水利局行政权力运行、河湖长制、农村饮水、重点区域排涝能力建设等方面内容，及时反馈。今年汛期期间，县水利局及时、迅速在政务公开网站发布相关预警信息、应急预案、汛期工作安排部署等信息，确保群众的知情权和监督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b/>
          <w:bCs/>
          <w:i w:val="0"/>
          <w:iCs w:val="0"/>
          <w:caps w:val="0"/>
          <w:color w:val="000000"/>
          <w:spacing w:val="0"/>
          <w:kern w:val="0"/>
          <w:sz w:val="28"/>
          <w:szCs w:val="28"/>
          <w:bdr w:val="none" w:color="auto" w:sz="0" w:space="0"/>
          <w:shd w:val="clear" w:fill="FFFFFF"/>
          <w:lang w:val="en-US" w:eastAsia="zh-CN" w:bidi="ar"/>
        </w:rPr>
        <w:t>（四）政府信息公开平台建设情况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kern w:val="0"/>
          <w:sz w:val="30"/>
          <w:szCs w:val="30"/>
          <w:bdr w:val="none" w:color="auto" w:sz="0" w:space="0"/>
          <w:shd w:val="clear" w:fill="FFFFFF"/>
          <w:lang w:val="en-US" w:eastAsia="zh-CN" w:bidi="ar"/>
        </w:rPr>
        <w:t>一是定期做好网站平台的维护、更新，配合做好上级安全评估和审查。二是及时调整政务公开目录。按照金寨县政务公开办公室要求，对照政府信息主动公开基本目录规范2021年版，认真编制调整、规范完善主动公开基本目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b/>
          <w:bCs/>
          <w:i w:val="0"/>
          <w:iCs w:val="0"/>
          <w:caps w:val="0"/>
          <w:color w:val="000000"/>
          <w:spacing w:val="0"/>
          <w:kern w:val="0"/>
          <w:sz w:val="28"/>
          <w:szCs w:val="28"/>
          <w:bdr w:val="none" w:color="auto" w:sz="0" w:space="0"/>
          <w:shd w:val="clear" w:fill="FFFFFF"/>
          <w:lang w:val="en-US" w:eastAsia="zh-CN" w:bidi="ar"/>
        </w:rPr>
        <w:t>（五）监督保障情况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kern w:val="0"/>
          <w:sz w:val="30"/>
          <w:szCs w:val="30"/>
          <w:bdr w:val="none" w:color="auto" w:sz="0" w:space="0"/>
          <w:shd w:val="clear" w:fill="FFFFFF"/>
          <w:lang w:val="en-US" w:eastAsia="zh-CN" w:bidi="ar"/>
        </w:rPr>
        <w:t>严格贯彻落实政府信息公开监督考核制度，针对每季度考核内容及时召开测评整改会议，对反馈的问题认真分析，逐项整改。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b/>
          <w:bCs/>
          <w:i w:val="0"/>
          <w:iCs w:val="0"/>
          <w:caps w:val="0"/>
          <w:color w:val="333333"/>
          <w:spacing w:val="0"/>
          <w:kern w:val="0"/>
          <w:sz w:val="30"/>
          <w:szCs w:val="30"/>
          <w:bdr w:val="none" w:color="auto" w:sz="0" w:space="0"/>
          <w:shd w:val="clear" w:fill="FFFFFF"/>
          <w:lang w:val="en-US" w:eastAsia="zh-CN" w:bidi="ar"/>
        </w:rPr>
        <w:t>    二、主动公开政府信息情况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b/>
          <w:bCs/>
          <w:i w:val="0"/>
          <w:iCs w:val="0"/>
          <w:caps w:val="0"/>
          <w:color w:val="333333"/>
          <w:spacing w:val="0"/>
          <w:kern w:val="0"/>
          <w:sz w:val="30"/>
          <w:szCs w:val="30"/>
          <w:bdr w:val="none" w:color="auto" w:sz="0" w:space="0"/>
          <w:shd w:val="clear" w:fill="FFFFFF"/>
          <w:lang w:val="en-US" w:eastAsia="zh-CN" w:bidi="ar"/>
        </w:rPr>
        <w:t> </w:t>
      </w:r>
    </w:p>
    <w:tbl>
      <w:tblPr>
        <w:tblW w:w="8101" w:type="dxa"/>
        <w:jc w:val="center"/>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Layout w:type="autofit"/>
        <w:tblCellMar>
          <w:top w:w="0" w:type="dxa"/>
          <w:left w:w="0" w:type="dxa"/>
          <w:bottom w:w="0" w:type="dxa"/>
          <w:right w:w="0" w:type="dxa"/>
        </w:tblCellMar>
      </w:tblPr>
      <w:tblGrid>
        <w:gridCol w:w="1169"/>
        <w:gridCol w:w="2435"/>
        <w:gridCol w:w="2435"/>
        <w:gridCol w:w="2062"/>
      </w:tblGrid>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8101" w:type="dxa"/>
            <w:gridSpan w:val="4"/>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第二十条第（一）项</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64" w:hRule="atLeast"/>
          <w:jc w:val="center"/>
        </w:trPr>
        <w:tc>
          <w:tcPr>
            <w:tcW w:w="1169"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信息内容</w:t>
            </w:r>
          </w:p>
        </w:tc>
        <w:tc>
          <w:tcPr>
            <w:tcW w:w="243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本年制发件数</w:t>
            </w:r>
          </w:p>
        </w:tc>
        <w:tc>
          <w:tcPr>
            <w:tcW w:w="243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本年废止件数</w:t>
            </w:r>
          </w:p>
        </w:tc>
        <w:tc>
          <w:tcPr>
            <w:tcW w:w="2062"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现行有效件数</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64" w:hRule="atLeast"/>
          <w:jc w:val="center"/>
        </w:trPr>
        <w:tc>
          <w:tcPr>
            <w:tcW w:w="1169"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规章</w:t>
            </w:r>
          </w:p>
        </w:tc>
        <w:tc>
          <w:tcPr>
            <w:tcW w:w="243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0</w:t>
            </w:r>
          </w:p>
        </w:tc>
        <w:tc>
          <w:tcPr>
            <w:tcW w:w="243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0</w:t>
            </w:r>
          </w:p>
        </w:tc>
        <w:tc>
          <w:tcPr>
            <w:tcW w:w="2062"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64" w:hRule="atLeast"/>
          <w:jc w:val="center"/>
        </w:trPr>
        <w:tc>
          <w:tcPr>
            <w:tcW w:w="1169"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行政规范性文件</w:t>
            </w:r>
          </w:p>
        </w:tc>
        <w:tc>
          <w:tcPr>
            <w:tcW w:w="243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0</w:t>
            </w:r>
          </w:p>
        </w:tc>
        <w:tc>
          <w:tcPr>
            <w:tcW w:w="243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0</w:t>
            </w:r>
          </w:p>
        </w:tc>
        <w:tc>
          <w:tcPr>
            <w:tcW w:w="2062"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64" w:hRule="atLeast"/>
          <w:jc w:val="center"/>
        </w:trPr>
        <w:tc>
          <w:tcPr>
            <w:tcW w:w="8101" w:type="dxa"/>
            <w:gridSpan w:val="4"/>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第二十条第（五）项</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64" w:hRule="atLeast"/>
          <w:jc w:val="center"/>
        </w:trPr>
        <w:tc>
          <w:tcPr>
            <w:tcW w:w="1169"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信息内容</w:t>
            </w:r>
          </w:p>
        </w:tc>
        <w:tc>
          <w:tcPr>
            <w:tcW w:w="6932" w:type="dxa"/>
            <w:gridSpan w:val="3"/>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本年处理决定数量</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64" w:hRule="atLeast"/>
          <w:jc w:val="center"/>
        </w:trPr>
        <w:tc>
          <w:tcPr>
            <w:tcW w:w="1169"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行政许可</w:t>
            </w:r>
          </w:p>
        </w:tc>
        <w:tc>
          <w:tcPr>
            <w:tcW w:w="6932" w:type="dxa"/>
            <w:gridSpan w:val="3"/>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eastAsia="仿宋_GB2312" w:cs="仿宋_GB2312" w:hAnsiTheme="minorHAnsi"/>
                <w:i w:val="0"/>
                <w:iCs w:val="0"/>
                <w:caps w:val="0"/>
                <w:color w:val="000000"/>
                <w:spacing w:val="0"/>
                <w:kern w:val="0"/>
                <w:sz w:val="21"/>
                <w:szCs w:val="21"/>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64" w:hRule="atLeast"/>
          <w:jc w:val="center"/>
        </w:trPr>
        <w:tc>
          <w:tcPr>
            <w:tcW w:w="8101" w:type="dxa"/>
            <w:gridSpan w:val="4"/>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第二十条第（六）项</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64" w:hRule="atLeast"/>
          <w:jc w:val="center"/>
        </w:trPr>
        <w:tc>
          <w:tcPr>
            <w:tcW w:w="1169"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信息内容</w:t>
            </w:r>
          </w:p>
        </w:tc>
        <w:tc>
          <w:tcPr>
            <w:tcW w:w="6932" w:type="dxa"/>
            <w:gridSpan w:val="3"/>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本年处理决定数量</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64" w:hRule="atLeast"/>
          <w:jc w:val="center"/>
        </w:trPr>
        <w:tc>
          <w:tcPr>
            <w:tcW w:w="1169"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行政处罚</w:t>
            </w:r>
          </w:p>
        </w:tc>
        <w:tc>
          <w:tcPr>
            <w:tcW w:w="6932" w:type="dxa"/>
            <w:gridSpan w:val="3"/>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79</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64" w:hRule="atLeast"/>
          <w:jc w:val="center"/>
        </w:trPr>
        <w:tc>
          <w:tcPr>
            <w:tcW w:w="1169"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行政强制</w:t>
            </w:r>
          </w:p>
        </w:tc>
        <w:tc>
          <w:tcPr>
            <w:tcW w:w="6932" w:type="dxa"/>
            <w:gridSpan w:val="3"/>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64" w:hRule="atLeast"/>
          <w:jc w:val="center"/>
        </w:trPr>
        <w:tc>
          <w:tcPr>
            <w:tcW w:w="8101" w:type="dxa"/>
            <w:gridSpan w:val="4"/>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第二十条第（八）项</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64" w:hRule="atLeast"/>
          <w:jc w:val="center"/>
        </w:trPr>
        <w:tc>
          <w:tcPr>
            <w:tcW w:w="1169"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信息内容</w:t>
            </w:r>
          </w:p>
        </w:tc>
        <w:tc>
          <w:tcPr>
            <w:tcW w:w="6932" w:type="dxa"/>
            <w:gridSpan w:val="3"/>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本年收费金额（单位：万元）</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64" w:hRule="atLeast"/>
          <w:jc w:val="center"/>
        </w:trPr>
        <w:tc>
          <w:tcPr>
            <w:tcW w:w="1169"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行政事业性收费</w:t>
            </w:r>
          </w:p>
        </w:tc>
        <w:tc>
          <w:tcPr>
            <w:tcW w:w="6932" w:type="dxa"/>
            <w:gridSpan w:val="3"/>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eastAsia="仿宋_GB2312" w:cs="仿宋_GB2312" w:hAnsiTheme="minorHAnsi"/>
                <w:i w:val="0"/>
                <w:iCs w:val="0"/>
                <w:caps w:val="0"/>
                <w:color w:val="000000"/>
                <w:spacing w:val="0"/>
                <w:kern w:val="0"/>
                <w:sz w:val="24"/>
                <w:szCs w:val="24"/>
                <w:bdr w:val="none" w:color="auto" w:sz="0" w:space="0"/>
                <w:shd w:val="clear" w:fill="FFFFFF"/>
                <w:lang w:val="en-US" w:eastAsia="zh-CN" w:bidi="ar"/>
              </w:rPr>
              <w:t>0</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30"/>
          <w:szCs w:val="30"/>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b/>
          <w:bCs/>
          <w:i w:val="0"/>
          <w:iCs w:val="0"/>
          <w:caps w:val="0"/>
          <w:color w:val="333333"/>
          <w:spacing w:val="0"/>
          <w:kern w:val="0"/>
          <w:sz w:val="30"/>
          <w:szCs w:val="30"/>
          <w:bdr w:val="none" w:color="auto" w:sz="0" w:space="0"/>
          <w:shd w:val="clear" w:fill="FFFFFF"/>
          <w:lang w:val="en-US" w:eastAsia="zh-CN" w:bidi="ar"/>
        </w:rPr>
        <w:t>    三、收到和处理政府信息公开申请情况</w:t>
      </w:r>
    </w:p>
    <w:tbl>
      <w:tblPr>
        <w:tblW w:w="8042" w:type="dxa"/>
        <w:jc w:val="center"/>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Layout w:type="autofit"/>
        <w:tblCellMar>
          <w:top w:w="0" w:type="dxa"/>
          <w:left w:w="0" w:type="dxa"/>
          <w:bottom w:w="0" w:type="dxa"/>
          <w:right w:w="0" w:type="dxa"/>
        </w:tblCellMar>
      </w:tblPr>
      <w:tblGrid>
        <w:gridCol w:w="554"/>
        <w:gridCol w:w="794"/>
        <w:gridCol w:w="1437"/>
        <w:gridCol w:w="524"/>
        <w:gridCol w:w="524"/>
        <w:gridCol w:w="449"/>
        <w:gridCol w:w="719"/>
        <w:gridCol w:w="659"/>
        <w:gridCol w:w="989"/>
        <w:gridCol w:w="1393"/>
      </w:tblGrid>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333" w:hRule="atLeast"/>
          <w:jc w:val="center"/>
        </w:trPr>
        <w:tc>
          <w:tcPr>
            <w:tcW w:w="2790" w:type="dxa"/>
            <w:gridSpan w:val="3"/>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楷体" w:hAnsi="楷体" w:eastAsia="楷体" w:cs="楷体"/>
                <w:i w:val="0"/>
                <w:iCs w:val="0"/>
                <w:color w:val="000000"/>
                <w:kern w:val="0"/>
                <w:sz w:val="15"/>
                <w:szCs w:val="15"/>
                <w:bdr w:val="none" w:color="auto" w:sz="0" w:space="0"/>
                <w:shd w:val="clear" w:fill="FFFFFF"/>
                <w:lang w:val="en-US" w:eastAsia="zh-CN" w:bidi="ar"/>
              </w:rPr>
              <w:t>（本列数据的勾稽关系为：第一项加第二项之和，等于第三项加第四项之和）</w:t>
            </w:r>
          </w:p>
        </w:tc>
        <w:tc>
          <w:tcPr>
            <w:tcW w:w="4800" w:type="dxa"/>
            <w:gridSpan w:val="7"/>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申请人情况</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18" w:hRule="atLeast"/>
          <w:jc w:val="center"/>
        </w:trPr>
        <w:tc>
          <w:tcPr>
            <w:tcW w:w="2790" w:type="dxa"/>
            <w:gridSpan w:val="3"/>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495"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自然人</w:t>
            </w:r>
          </w:p>
        </w:tc>
        <w:tc>
          <w:tcPr>
            <w:tcW w:w="3345" w:type="dxa"/>
            <w:gridSpan w:val="5"/>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法人或其他组织</w:t>
            </w:r>
          </w:p>
        </w:tc>
        <w:tc>
          <w:tcPr>
            <w:tcW w:w="540"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总计</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318" w:hRule="atLeast"/>
          <w:jc w:val="center"/>
        </w:trPr>
        <w:tc>
          <w:tcPr>
            <w:tcW w:w="2790" w:type="dxa"/>
            <w:gridSpan w:val="3"/>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4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480"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商业企业</w:t>
            </w:r>
          </w:p>
        </w:tc>
        <w:tc>
          <w:tcPr>
            <w:tcW w:w="405"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科研机构</w:t>
            </w:r>
          </w:p>
        </w:tc>
        <w:tc>
          <w:tcPr>
            <w:tcW w:w="615"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社会公益组织</w:t>
            </w:r>
          </w:p>
        </w:tc>
        <w:tc>
          <w:tcPr>
            <w:tcW w:w="555"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法律服务机构</w:t>
            </w:r>
          </w:p>
        </w:tc>
        <w:tc>
          <w:tcPr>
            <w:tcW w:w="450"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其他</w:t>
            </w:r>
          </w:p>
        </w:tc>
        <w:tc>
          <w:tcPr>
            <w:tcW w:w="540"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318" w:hRule="atLeast"/>
          <w:jc w:val="center"/>
        </w:trPr>
        <w:tc>
          <w:tcPr>
            <w:tcW w:w="2790" w:type="dxa"/>
            <w:gridSpan w:val="3"/>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4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480"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40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61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450"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540"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495" w:hRule="atLeast"/>
          <w:jc w:val="center"/>
        </w:trPr>
        <w:tc>
          <w:tcPr>
            <w:tcW w:w="2790" w:type="dxa"/>
            <w:gridSpan w:val="3"/>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一、本年新收政府信息公开申请数量</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0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1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4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95" w:hRule="atLeast"/>
          <w:jc w:val="center"/>
        </w:trPr>
        <w:tc>
          <w:tcPr>
            <w:tcW w:w="2790" w:type="dxa"/>
            <w:gridSpan w:val="3"/>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二、上年结转政府信息公开申请数量</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0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1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4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333" w:hRule="atLeast"/>
          <w:jc w:val="center"/>
        </w:trPr>
        <w:tc>
          <w:tcPr>
            <w:tcW w:w="555"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三、本年度办理结果</w:t>
            </w:r>
          </w:p>
        </w:tc>
        <w:tc>
          <w:tcPr>
            <w:tcW w:w="2055" w:type="dxa"/>
            <w:gridSpan w:val="2"/>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（一）予以公开</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672"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2055" w:type="dxa"/>
            <w:gridSpan w:val="2"/>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（二）部分公开</w:t>
            </w:r>
            <w:r>
              <w:rPr>
                <w:rFonts w:hint="eastAsia" w:ascii="楷体" w:hAnsi="楷体" w:eastAsia="楷体" w:cs="楷体"/>
                <w:i w:val="0"/>
                <w:iCs w:val="0"/>
                <w:color w:val="000000"/>
                <w:kern w:val="0"/>
                <w:sz w:val="15"/>
                <w:szCs w:val="15"/>
                <w:bdr w:val="none" w:color="auto" w:sz="0" w:space="0"/>
                <w:shd w:val="clear" w:fill="FFFFFF"/>
                <w:lang w:val="en-US" w:eastAsia="zh-CN" w:bidi="ar"/>
              </w:rPr>
              <w:t>（区分处理的，只计这一情形，不计其他情形）</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2055" w:type="dxa"/>
            <w:gridSpan w:val="2"/>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30"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（三）不予公开</w:t>
            </w:r>
          </w:p>
        </w:tc>
        <w:tc>
          <w:tcPr>
            <w:tcW w:w="1050" w:type="dxa"/>
            <w:tcBorders>
              <w:top w:val="single" w:color="000000" w:sz="2" w:space="0"/>
              <w:left w:val="single" w:color="000000" w:sz="2" w:space="0"/>
              <w:bottom w:val="single" w:color="000000" w:sz="6" w:space="0"/>
              <w:right w:val="single" w:color="000000" w:sz="6" w:space="0"/>
            </w:tcBorders>
            <w:shd w:val="cle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pPr>
            <w:r>
              <w:rPr>
                <w:rFonts w:hint="eastAsia" w:ascii="宋体" w:hAnsi="宋体" w:eastAsia="宋体" w:cs="宋体"/>
                <w:i w:val="0"/>
                <w:iCs w:val="0"/>
                <w:color w:val="000000"/>
                <w:kern w:val="0"/>
                <w:sz w:val="15"/>
                <w:szCs w:val="15"/>
                <w:bdr w:val="none" w:color="auto" w:sz="0" w:space="0"/>
                <w:shd w:val="clear" w:fill="FFFFFF"/>
                <w:lang w:val="en-US" w:eastAsia="zh-CN" w:bidi="ar"/>
              </w:rPr>
              <w:t>1.属于国家秘密</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593"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1050" w:type="dxa"/>
            <w:tcBorders>
              <w:top w:val="single" w:color="000000" w:sz="2" w:space="0"/>
              <w:left w:val="single" w:color="000000" w:sz="2" w:space="0"/>
              <w:bottom w:val="single" w:color="000000" w:sz="6" w:space="0"/>
              <w:right w:val="single" w:color="000000" w:sz="6" w:space="0"/>
            </w:tcBorders>
            <w:shd w:val="cle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pPr>
            <w:r>
              <w:rPr>
                <w:rFonts w:hint="eastAsia" w:ascii="宋体" w:hAnsi="宋体" w:eastAsia="宋体" w:cs="宋体"/>
                <w:i w:val="0"/>
                <w:iCs w:val="0"/>
                <w:color w:val="000000"/>
                <w:kern w:val="0"/>
                <w:sz w:val="15"/>
                <w:szCs w:val="15"/>
                <w:bdr w:val="none" w:color="auto" w:sz="0" w:space="0"/>
                <w:shd w:val="clear" w:fill="FFFFFF"/>
                <w:lang w:val="en-US" w:eastAsia="zh-CN" w:bidi="ar"/>
              </w:rPr>
              <w:t>2.其他法律行政法规禁止公开</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528"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1050" w:type="dxa"/>
            <w:tcBorders>
              <w:top w:val="single" w:color="000000" w:sz="2" w:space="0"/>
              <w:left w:val="single" w:color="000000" w:sz="2" w:space="0"/>
              <w:bottom w:val="single" w:color="000000" w:sz="6" w:space="0"/>
              <w:right w:val="single" w:color="000000" w:sz="6" w:space="0"/>
            </w:tcBorders>
            <w:shd w:val="cle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pPr>
            <w:r>
              <w:rPr>
                <w:rFonts w:hint="eastAsia" w:ascii="宋体" w:hAnsi="宋体" w:eastAsia="宋体" w:cs="宋体"/>
                <w:i w:val="0"/>
                <w:iCs w:val="0"/>
                <w:color w:val="000000"/>
                <w:kern w:val="0"/>
                <w:sz w:val="15"/>
                <w:szCs w:val="15"/>
                <w:bdr w:val="none" w:color="auto" w:sz="0" w:space="0"/>
                <w:shd w:val="clear" w:fill="FFFFFF"/>
                <w:lang w:val="en-US" w:eastAsia="zh-CN" w:bidi="ar"/>
              </w:rPr>
              <w:t>3.危及“三安全一稳定”</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534"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1050" w:type="dxa"/>
            <w:tcBorders>
              <w:top w:val="single" w:color="000000" w:sz="2" w:space="0"/>
              <w:left w:val="single" w:color="000000" w:sz="2" w:space="0"/>
              <w:bottom w:val="single" w:color="000000" w:sz="6" w:space="0"/>
              <w:right w:val="single" w:color="000000" w:sz="6" w:space="0"/>
            </w:tcBorders>
            <w:shd w:val="cle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pPr>
            <w:r>
              <w:rPr>
                <w:rFonts w:hint="eastAsia" w:ascii="宋体" w:hAnsi="宋体" w:eastAsia="宋体" w:cs="宋体"/>
                <w:i w:val="0"/>
                <w:iCs w:val="0"/>
                <w:color w:val="000000"/>
                <w:kern w:val="0"/>
                <w:sz w:val="15"/>
                <w:szCs w:val="15"/>
                <w:bdr w:val="none" w:color="auto" w:sz="0" w:space="0"/>
                <w:shd w:val="clear" w:fill="FFFFFF"/>
                <w:lang w:val="en-US" w:eastAsia="zh-CN" w:bidi="ar"/>
              </w:rPr>
              <w:t>4.保护第三方合法权益</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514"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1050" w:type="dxa"/>
            <w:tcBorders>
              <w:top w:val="single" w:color="000000" w:sz="2" w:space="0"/>
              <w:left w:val="single" w:color="000000" w:sz="2" w:space="0"/>
              <w:bottom w:val="single" w:color="000000" w:sz="6" w:space="0"/>
              <w:right w:val="single" w:color="000000" w:sz="6" w:space="0"/>
            </w:tcBorders>
            <w:shd w:val="cle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pPr>
            <w:r>
              <w:rPr>
                <w:rFonts w:hint="eastAsia" w:ascii="宋体" w:hAnsi="宋体" w:eastAsia="宋体" w:cs="宋体"/>
                <w:i w:val="0"/>
                <w:iCs w:val="0"/>
                <w:color w:val="000000"/>
                <w:kern w:val="0"/>
                <w:sz w:val="15"/>
                <w:szCs w:val="15"/>
                <w:bdr w:val="none" w:color="auto" w:sz="0" w:space="0"/>
                <w:shd w:val="clear" w:fill="FFFFFF"/>
                <w:lang w:val="en-US" w:eastAsia="zh-CN" w:bidi="ar"/>
              </w:rPr>
              <w:t>5.属于三类内部事务信息</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560"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1050" w:type="dxa"/>
            <w:tcBorders>
              <w:top w:val="single" w:color="000000" w:sz="2" w:space="0"/>
              <w:left w:val="single" w:color="000000" w:sz="2" w:space="0"/>
              <w:bottom w:val="single" w:color="000000" w:sz="6" w:space="0"/>
              <w:right w:val="single" w:color="000000" w:sz="6" w:space="0"/>
            </w:tcBorders>
            <w:shd w:val="cle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pPr>
            <w:r>
              <w:rPr>
                <w:rFonts w:hint="eastAsia" w:ascii="宋体" w:hAnsi="宋体" w:eastAsia="宋体" w:cs="宋体"/>
                <w:i w:val="0"/>
                <w:iCs w:val="0"/>
                <w:color w:val="000000"/>
                <w:kern w:val="0"/>
                <w:sz w:val="15"/>
                <w:szCs w:val="15"/>
                <w:bdr w:val="none" w:color="auto" w:sz="0" w:space="0"/>
                <w:shd w:val="clear" w:fill="FFFFFF"/>
                <w:lang w:val="en-US" w:eastAsia="zh-CN" w:bidi="ar"/>
              </w:rPr>
              <w:t>6.属于四类过程性信息</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560"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1050" w:type="dxa"/>
            <w:tcBorders>
              <w:top w:val="single" w:color="000000" w:sz="2" w:space="0"/>
              <w:left w:val="single" w:color="000000" w:sz="2" w:space="0"/>
              <w:bottom w:val="single" w:color="000000" w:sz="6" w:space="0"/>
              <w:right w:val="single" w:color="000000" w:sz="6" w:space="0"/>
            </w:tcBorders>
            <w:shd w:val="cle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pPr>
            <w:r>
              <w:rPr>
                <w:rFonts w:hint="eastAsia" w:ascii="宋体" w:hAnsi="宋体" w:eastAsia="宋体" w:cs="宋体"/>
                <w:i w:val="0"/>
                <w:iCs w:val="0"/>
                <w:color w:val="000000"/>
                <w:kern w:val="0"/>
                <w:sz w:val="15"/>
                <w:szCs w:val="15"/>
                <w:bdr w:val="none" w:color="auto" w:sz="0" w:space="0"/>
                <w:shd w:val="clear" w:fill="FFFFFF"/>
                <w:lang w:val="en-US" w:eastAsia="zh-CN" w:bidi="ar"/>
              </w:rPr>
              <w:t>7.属于行政执法案卷</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521"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1050" w:type="dxa"/>
            <w:tcBorders>
              <w:top w:val="single" w:color="000000" w:sz="2" w:space="0"/>
              <w:left w:val="single" w:color="000000" w:sz="2" w:space="0"/>
              <w:bottom w:val="single" w:color="000000" w:sz="6" w:space="0"/>
              <w:right w:val="single" w:color="000000" w:sz="6" w:space="0"/>
            </w:tcBorders>
            <w:shd w:val="cle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pPr>
            <w:r>
              <w:rPr>
                <w:rFonts w:hint="eastAsia" w:ascii="宋体" w:hAnsi="宋体" w:eastAsia="宋体" w:cs="宋体"/>
                <w:i w:val="0"/>
                <w:iCs w:val="0"/>
                <w:color w:val="000000"/>
                <w:kern w:val="0"/>
                <w:sz w:val="15"/>
                <w:szCs w:val="15"/>
                <w:bdr w:val="none" w:color="auto" w:sz="0" w:space="0"/>
                <w:shd w:val="clear" w:fill="FFFFFF"/>
                <w:lang w:val="en-US" w:eastAsia="zh-CN" w:bidi="ar"/>
              </w:rPr>
              <w:t>8.属于行政查询事项</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636"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（四）无法提供</w:t>
            </w:r>
          </w:p>
        </w:tc>
        <w:tc>
          <w:tcPr>
            <w:tcW w:w="1050" w:type="dxa"/>
            <w:tcBorders>
              <w:top w:val="single" w:color="000000" w:sz="2" w:space="0"/>
              <w:left w:val="single" w:color="000000" w:sz="2" w:space="0"/>
              <w:bottom w:val="single" w:color="000000" w:sz="6" w:space="0"/>
              <w:right w:val="single" w:color="000000" w:sz="6" w:space="0"/>
            </w:tcBorders>
            <w:shd w:val="cle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pPr>
            <w:r>
              <w:rPr>
                <w:rFonts w:hint="eastAsia" w:ascii="宋体" w:hAnsi="宋体" w:eastAsia="宋体" w:cs="宋体"/>
                <w:i w:val="0"/>
                <w:iCs w:val="0"/>
                <w:color w:val="000000"/>
                <w:kern w:val="0"/>
                <w:sz w:val="15"/>
                <w:szCs w:val="15"/>
                <w:bdr w:val="none" w:color="auto" w:sz="0" w:space="0"/>
                <w:shd w:val="clear" w:fill="FFFFFF"/>
                <w:lang w:val="en-US" w:eastAsia="zh-CN" w:bidi="ar"/>
              </w:rPr>
              <w:t>1.本机关不掌握相关政府信息</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640"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1050" w:type="dxa"/>
            <w:tcBorders>
              <w:top w:val="single" w:color="000000" w:sz="2" w:space="0"/>
              <w:left w:val="single" w:color="000000" w:sz="2" w:space="0"/>
              <w:bottom w:val="single" w:color="000000" w:sz="6" w:space="0"/>
              <w:right w:val="single" w:color="000000" w:sz="6" w:space="0"/>
            </w:tcBorders>
            <w:shd w:val="cle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pPr>
            <w:r>
              <w:rPr>
                <w:rFonts w:hint="eastAsia" w:ascii="宋体" w:hAnsi="宋体" w:eastAsia="宋体" w:cs="宋体"/>
                <w:i w:val="0"/>
                <w:iCs w:val="0"/>
                <w:color w:val="000000"/>
                <w:kern w:val="0"/>
                <w:sz w:val="15"/>
                <w:szCs w:val="15"/>
                <w:bdr w:val="none" w:color="auto" w:sz="0" w:space="0"/>
                <w:shd w:val="clear" w:fill="FFFFFF"/>
                <w:lang w:val="en-US" w:eastAsia="zh-CN" w:bidi="ar"/>
              </w:rPr>
              <w:t>2.没有现成信息需要另行制作</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644"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1050" w:type="dxa"/>
            <w:tcBorders>
              <w:top w:val="single" w:color="000000" w:sz="2" w:space="0"/>
              <w:left w:val="single" w:color="000000" w:sz="2" w:space="0"/>
              <w:bottom w:val="single" w:color="000000" w:sz="6" w:space="0"/>
              <w:right w:val="single" w:color="000000" w:sz="6" w:space="0"/>
            </w:tcBorders>
            <w:shd w:val="cle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pPr>
            <w:r>
              <w:rPr>
                <w:rFonts w:hint="eastAsia" w:ascii="宋体" w:hAnsi="宋体" w:eastAsia="宋体" w:cs="宋体"/>
                <w:i w:val="0"/>
                <w:iCs w:val="0"/>
                <w:color w:val="000000"/>
                <w:kern w:val="0"/>
                <w:sz w:val="15"/>
                <w:szCs w:val="15"/>
                <w:bdr w:val="none" w:color="auto" w:sz="0" w:space="0"/>
                <w:shd w:val="clear" w:fill="FFFFFF"/>
                <w:lang w:val="en-US" w:eastAsia="zh-CN" w:bidi="ar"/>
              </w:rPr>
              <w:t>3.补正后申请内容仍不明确</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521"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（五）不予处理</w:t>
            </w:r>
          </w:p>
        </w:tc>
        <w:tc>
          <w:tcPr>
            <w:tcW w:w="1050" w:type="dxa"/>
            <w:tcBorders>
              <w:top w:val="single" w:color="000000" w:sz="2" w:space="0"/>
              <w:left w:val="single" w:color="000000" w:sz="2" w:space="0"/>
              <w:bottom w:val="single" w:color="000000" w:sz="6" w:space="0"/>
              <w:right w:val="single" w:color="000000" w:sz="6" w:space="0"/>
            </w:tcBorders>
            <w:shd w:val="cle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pPr>
            <w:r>
              <w:rPr>
                <w:rFonts w:hint="eastAsia" w:ascii="宋体" w:hAnsi="宋体" w:eastAsia="宋体" w:cs="宋体"/>
                <w:i w:val="0"/>
                <w:iCs w:val="0"/>
                <w:color w:val="000000"/>
                <w:kern w:val="0"/>
                <w:sz w:val="15"/>
                <w:szCs w:val="15"/>
                <w:bdr w:val="none" w:color="auto" w:sz="0" w:space="0"/>
                <w:shd w:val="clear" w:fill="FFFFFF"/>
                <w:lang w:val="en-US" w:eastAsia="zh-CN" w:bidi="ar"/>
              </w:rPr>
              <w:t>1.信访举报投诉类申请</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90"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1050" w:type="dxa"/>
            <w:tcBorders>
              <w:top w:val="single" w:color="000000" w:sz="2" w:space="0"/>
              <w:left w:val="single" w:color="000000" w:sz="2" w:space="0"/>
              <w:bottom w:val="single" w:color="000000" w:sz="6" w:space="0"/>
              <w:right w:val="single" w:color="000000" w:sz="6" w:space="0"/>
            </w:tcBorders>
            <w:shd w:val="cle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pPr>
            <w:r>
              <w:rPr>
                <w:rFonts w:hint="eastAsia" w:ascii="宋体" w:hAnsi="宋体" w:eastAsia="宋体" w:cs="宋体"/>
                <w:i w:val="0"/>
                <w:iCs w:val="0"/>
                <w:color w:val="000000"/>
                <w:kern w:val="0"/>
                <w:sz w:val="15"/>
                <w:szCs w:val="15"/>
                <w:bdr w:val="none" w:color="auto" w:sz="0" w:space="0"/>
                <w:shd w:val="clear" w:fill="FFFFFF"/>
                <w:lang w:val="en-US" w:eastAsia="zh-CN" w:bidi="ar"/>
              </w:rPr>
              <w:t>2.重复申请</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557"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1050" w:type="dxa"/>
            <w:tcBorders>
              <w:top w:val="single" w:color="000000" w:sz="2" w:space="0"/>
              <w:left w:val="single" w:color="000000" w:sz="2" w:space="0"/>
              <w:bottom w:val="single" w:color="000000" w:sz="6" w:space="0"/>
              <w:right w:val="single" w:color="000000" w:sz="6" w:space="0"/>
            </w:tcBorders>
            <w:shd w:val="cle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pPr>
            <w:r>
              <w:rPr>
                <w:rFonts w:hint="eastAsia" w:ascii="宋体" w:hAnsi="宋体" w:eastAsia="宋体" w:cs="宋体"/>
                <w:i w:val="0"/>
                <w:iCs w:val="0"/>
                <w:color w:val="000000"/>
                <w:kern w:val="0"/>
                <w:sz w:val="15"/>
                <w:szCs w:val="15"/>
                <w:bdr w:val="none" w:color="auto" w:sz="0" w:space="0"/>
                <w:shd w:val="clear" w:fill="FFFFFF"/>
                <w:lang w:val="en-US" w:eastAsia="zh-CN" w:bidi="ar"/>
              </w:rPr>
              <w:t>3.要求提供公开出版物</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572"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1050" w:type="dxa"/>
            <w:tcBorders>
              <w:top w:val="single" w:color="000000" w:sz="2" w:space="0"/>
              <w:left w:val="single" w:color="000000" w:sz="2" w:space="0"/>
              <w:bottom w:val="single" w:color="000000" w:sz="6" w:space="0"/>
              <w:right w:val="single" w:color="000000" w:sz="6" w:space="0"/>
            </w:tcBorders>
            <w:shd w:val="cle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top"/>
            </w:pPr>
            <w:r>
              <w:rPr>
                <w:rFonts w:hint="eastAsia" w:ascii="宋体" w:hAnsi="宋体" w:eastAsia="宋体" w:cs="宋体"/>
                <w:i w:val="0"/>
                <w:iCs w:val="0"/>
                <w:color w:val="000000"/>
                <w:kern w:val="0"/>
                <w:sz w:val="15"/>
                <w:szCs w:val="15"/>
                <w:bdr w:val="none" w:color="auto" w:sz="0" w:space="0"/>
                <w:shd w:val="clear" w:fill="FFFFFF"/>
                <w:lang w:val="en-US" w:eastAsia="zh-CN" w:bidi="ar"/>
              </w:rPr>
              <w:t>4.无正当理由大量反复申请</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959"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10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5.要求行政机关确认或重新出具已获取信息</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3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5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517"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（六）其他处理</w:t>
            </w:r>
          </w:p>
        </w:tc>
        <w:tc>
          <w:tcPr>
            <w:tcW w:w="106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1.申请人无正当理由逾期不补正、行政机关不再处理其政府信息公开申请</w:t>
            </w:r>
          </w:p>
        </w:tc>
        <w:tc>
          <w:tcPr>
            <w:tcW w:w="51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4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8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6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552"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106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2.申请人逾期未按收费通知要求缴纳费用、行政机关不再处理其政府信息公开申请</w:t>
            </w:r>
          </w:p>
        </w:tc>
        <w:tc>
          <w:tcPr>
            <w:tcW w:w="51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4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8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6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88"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79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106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3.其他</w:t>
            </w:r>
          </w:p>
        </w:tc>
        <w:tc>
          <w:tcPr>
            <w:tcW w:w="51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4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8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6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7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88" w:hRule="atLeast"/>
          <w:jc w:val="center"/>
        </w:trPr>
        <w:tc>
          <w:tcPr>
            <w:tcW w:w="555"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1950" w:type="dxa"/>
            <w:gridSpan w:val="2"/>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（七）总计</w:t>
            </w:r>
          </w:p>
        </w:tc>
        <w:tc>
          <w:tcPr>
            <w:tcW w:w="51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9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3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6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0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48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58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288" w:hRule="atLeast"/>
          <w:jc w:val="center"/>
        </w:trPr>
        <w:tc>
          <w:tcPr>
            <w:tcW w:w="2595" w:type="dxa"/>
            <w:gridSpan w:val="3"/>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olor w:val="000000"/>
                <w:kern w:val="0"/>
                <w:sz w:val="15"/>
                <w:szCs w:val="15"/>
                <w:bdr w:val="none" w:color="auto" w:sz="0" w:space="0"/>
                <w:shd w:val="clear" w:fill="FFFFFF"/>
                <w:lang w:val="en-US" w:eastAsia="zh-CN" w:bidi="ar"/>
              </w:rPr>
              <w:t>四、结转下年度继续办理</w:t>
            </w:r>
          </w:p>
        </w:tc>
        <w:tc>
          <w:tcPr>
            <w:tcW w:w="52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52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45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72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6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Calibri" w:hAnsi="Calibri" w:cs="Calibri" w:eastAsiaTheme="minorEastAsia"/>
                <w:i w:val="0"/>
                <w:iCs w:val="0"/>
                <w:color w:val="000000"/>
                <w:kern w:val="0"/>
                <w:sz w:val="15"/>
                <w:szCs w:val="15"/>
                <w:bdr w:val="none" w:color="auto" w:sz="0" w:space="0"/>
                <w:shd w:val="clear" w:fill="FFFFFF"/>
                <w:lang w:val="en-US" w:eastAsia="zh-CN" w:bidi="ar"/>
              </w:rPr>
              <w:t>0</w:t>
            </w:r>
          </w:p>
        </w:tc>
        <w:tc>
          <w:tcPr>
            <w:tcW w:w="52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c>
          <w:tcPr>
            <w:tcW w:w="675"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hAnsiTheme="minorHAnsi"/>
                <w:i w:val="0"/>
                <w:iCs w:val="0"/>
                <w:color w:val="000000"/>
                <w:kern w:val="0"/>
                <w:sz w:val="15"/>
                <w:szCs w:val="15"/>
                <w:bdr w:val="none" w:color="auto" w:sz="0" w:space="0"/>
                <w:shd w:val="clear" w:fill="FFFFFF"/>
                <w:lang w:val="en-US" w:eastAsia="zh-CN" w:bidi="ar"/>
              </w:rPr>
              <w:t>0</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30"/>
          <w:szCs w:val="30"/>
          <w:bdr w:val="none" w:color="auto" w:sz="0" w:space="0"/>
          <w:shd w:val="clear" w:fill="FFFFFF"/>
          <w:lang w:val="en-US" w:eastAsia="zh-CN" w:bidi="ar"/>
        </w:rPr>
        <w:t>     </w:t>
      </w:r>
      <w:r>
        <w:rPr>
          <w:rFonts w:hint="eastAsia" w:ascii="仿宋_GB2312" w:hAnsi="微软雅黑" w:eastAsia="仿宋_GB2312" w:cs="仿宋_GB2312"/>
          <w:b/>
          <w:bCs/>
          <w:i w:val="0"/>
          <w:iCs w:val="0"/>
          <w:caps w:val="0"/>
          <w:color w:val="333333"/>
          <w:spacing w:val="0"/>
          <w:kern w:val="0"/>
          <w:sz w:val="30"/>
          <w:szCs w:val="30"/>
          <w:bdr w:val="none" w:color="auto" w:sz="0" w:space="0"/>
          <w:shd w:val="clear" w:fill="FFFFFF"/>
          <w:lang w:val="en-US" w:eastAsia="zh-CN" w:bidi="ar"/>
        </w:rPr>
        <w:t>四、政府信息公开行政复议、行政诉讼情况</w:t>
      </w:r>
      <w:r>
        <w:rPr>
          <w:rFonts w:hint="eastAsia" w:ascii="微软雅黑" w:hAnsi="微软雅黑" w:eastAsia="微软雅黑" w:cs="微软雅黑"/>
          <w:b/>
          <w:bCs/>
          <w:i w:val="0"/>
          <w:iCs w:val="0"/>
          <w:caps w:val="0"/>
          <w:color w:val="333333"/>
          <w:spacing w:val="0"/>
          <w:kern w:val="0"/>
          <w:sz w:val="30"/>
          <w:szCs w:val="30"/>
          <w:bdr w:val="none" w:color="auto" w:sz="0" w:space="0"/>
          <w:shd w:val="clear" w:fill="FFFFFF"/>
          <w:lang w:val="en-US" w:eastAsia="zh-CN" w:bidi="ar"/>
        </w:rPr>
        <w:t> </w:t>
      </w:r>
    </w:p>
    <w:tbl>
      <w:tblPr>
        <w:tblW w:w="9068" w:type="dxa"/>
        <w:jc w:val="center"/>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Layout w:type="autofit"/>
        <w:tblCellMar>
          <w:top w:w="0" w:type="dxa"/>
          <w:left w:w="0" w:type="dxa"/>
          <w:bottom w:w="0" w:type="dxa"/>
          <w:right w:w="0" w:type="dxa"/>
        </w:tblCellMar>
      </w:tblPr>
      <w:tblGrid>
        <w:gridCol w:w="594"/>
        <w:gridCol w:w="640"/>
        <w:gridCol w:w="593"/>
        <w:gridCol w:w="613"/>
        <w:gridCol w:w="414"/>
        <w:gridCol w:w="613"/>
        <w:gridCol w:w="653"/>
        <w:gridCol w:w="614"/>
        <w:gridCol w:w="660"/>
        <w:gridCol w:w="393"/>
        <w:gridCol w:w="660"/>
        <w:gridCol w:w="607"/>
        <w:gridCol w:w="753"/>
        <w:gridCol w:w="600"/>
        <w:gridCol w:w="661"/>
      </w:tblGrid>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560" w:hRule="atLeast"/>
          <w:jc w:val="center"/>
        </w:trPr>
        <w:tc>
          <w:tcPr>
            <w:tcW w:w="2854" w:type="dxa"/>
            <w:gridSpan w:val="5"/>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行政复议</w:t>
            </w:r>
          </w:p>
        </w:tc>
        <w:tc>
          <w:tcPr>
            <w:tcW w:w="6214" w:type="dxa"/>
            <w:gridSpan w:val="10"/>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行政诉讼</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477" w:hRule="atLeast"/>
          <w:jc w:val="center"/>
        </w:trPr>
        <w:tc>
          <w:tcPr>
            <w:tcW w:w="594"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结果维持</w:t>
            </w:r>
          </w:p>
        </w:tc>
        <w:tc>
          <w:tcPr>
            <w:tcW w:w="640"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结果纠正</w:t>
            </w:r>
          </w:p>
        </w:tc>
        <w:tc>
          <w:tcPr>
            <w:tcW w:w="593"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其他结果</w:t>
            </w:r>
          </w:p>
        </w:tc>
        <w:tc>
          <w:tcPr>
            <w:tcW w:w="613"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尚未审结</w:t>
            </w:r>
          </w:p>
        </w:tc>
        <w:tc>
          <w:tcPr>
            <w:tcW w:w="414" w:type="dxa"/>
            <w:vMerge w:val="restart"/>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总计</w:t>
            </w:r>
          </w:p>
        </w:tc>
        <w:tc>
          <w:tcPr>
            <w:tcW w:w="2933" w:type="dxa"/>
            <w:gridSpan w:val="5"/>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未经复议直接起诉</w:t>
            </w:r>
          </w:p>
        </w:tc>
        <w:tc>
          <w:tcPr>
            <w:tcW w:w="3281" w:type="dxa"/>
            <w:gridSpan w:val="5"/>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复议后起诉</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779" w:hRule="atLeast"/>
          <w:jc w:val="center"/>
        </w:trPr>
        <w:tc>
          <w:tcPr>
            <w:tcW w:w="594"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640"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593"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613"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414" w:type="dxa"/>
            <w:vMerge w:val="continue"/>
            <w:tcBorders>
              <w:top w:val="single" w:color="000000" w:sz="2" w:space="0"/>
              <w:left w:val="single" w:color="000000" w:sz="2" w:space="0"/>
              <w:bottom w:val="single" w:color="000000" w:sz="6" w:space="0"/>
              <w:right w:val="single" w:color="000000" w:sz="6" w:space="0"/>
            </w:tcBorders>
            <w:shd w:val="clear"/>
            <w:vAlign w:val="center"/>
          </w:tcPr>
          <w:p>
            <w:pPr>
              <w:rPr>
                <w:rFonts w:hint="eastAsia" w:ascii="宋体"/>
                <w:sz w:val="24"/>
                <w:szCs w:val="24"/>
              </w:rPr>
            </w:pPr>
          </w:p>
        </w:tc>
        <w:tc>
          <w:tcPr>
            <w:tcW w:w="613"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结果维持</w:t>
            </w:r>
          </w:p>
        </w:tc>
        <w:tc>
          <w:tcPr>
            <w:tcW w:w="653"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结果纠正</w:t>
            </w:r>
          </w:p>
        </w:tc>
        <w:tc>
          <w:tcPr>
            <w:tcW w:w="614"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其他结果</w:t>
            </w:r>
          </w:p>
        </w:tc>
        <w:tc>
          <w:tcPr>
            <w:tcW w:w="66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尚未审结</w:t>
            </w:r>
          </w:p>
        </w:tc>
        <w:tc>
          <w:tcPr>
            <w:tcW w:w="393"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总计</w:t>
            </w:r>
          </w:p>
        </w:tc>
        <w:tc>
          <w:tcPr>
            <w:tcW w:w="66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结果维持</w:t>
            </w:r>
          </w:p>
        </w:tc>
        <w:tc>
          <w:tcPr>
            <w:tcW w:w="607"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结果纠正</w:t>
            </w:r>
          </w:p>
        </w:tc>
        <w:tc>
          <w:tcPr>
            <w:tcW w:w="753"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其他结果</w:t>
            </w:r>
          </w:p>
        </w:tc>
        <w:tc>
          <w:tcPr>
            <w:tcW w:w="60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尚未审结</w:t>
            </w:r>
          </w:p>
        </w:tc>
        <w:tc>
          <w:tcPr>
            <w:tcW w:w="661"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8"/>
                <w:szCs w:val="18"/>
                <w:bdr w:val="none" w:color="auto" w:sz="0" w:space="0"/>
                <w:shd w:val="clear" w:fill="FFFFFF"/>
                <w:lang w:val="en-US" w:eastAsia="zh-CN" w:bidi="ar"/>
              </w:rPr>
              <w:t>总计</w:t>
            </w:r>
          </w:p>
        </w:tc>
      </w:tr>
      <w:tr>
        <w:tblPrEx>
          <w:tblBorders>
            <w:top w:val="single" w:color="000000" w:sz="6" w:space="0"/>
            <w:left w:val="single" w:color="000000" w:sz="6" w:space="0"/>
            <w:bottom w:val="single" w:color="000000" w:sz="2" w:space="0"/>
            <w:right w:val="single" w:color="000000" w:sz="2" w:space="0"/>
            <w:insideH w:val="none" w:color="auto" w:sz="0" w:space="0"/>
            <w:insideV w:val="none" w:color="auto" w:sz="0" w:space="0"/>
          </w:tblBorders>
          <w:shd w:val="clear"/>
          <w:tblCellMar>
            <w:top w:w="0" w:type="dxa"/>
            <w:left w:w="0" w:type="dxa"/>
            <w:bottom w:w="0" w:type="dxa"/>
            <w:right w:w="0" w:type="dxa"/>
          </w:tblCellMar>
        </w:tblPrEx>
        <w:trPr>
          <w:trHeight w:val="720" w:hRule="atLeast"/>
          <w:jc w:val="center"/>
        </w:trPr>
        <w:tc>
          <w:tcPr>
            <w:tcW w:w="594"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20"/>
                <w:szCs w:val="20"/>
                <w:bdr w:val="none" w:color="auto" w:sz="0" w:space="0"/>
                <w:shd w:val="clear" w:fill="FFFFFF"/>
                <w:lang w:val="en-US" w:eastAsia="zh-CN" w:bidi="ar"/>
              </w:rPr>
              <w:t>0</w:t>
            </w:r>
          </w:p>
        </w:tc>
        <w:tc>
          <w:tcPr>
            <w:tcW w:w="64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0</w:t>
            </w:r>
          </w:p>
        </w:tc>
        <w:tc>
          <w:tcPr>
            <w:tcW w:w="593"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0</w:t>
            </w:r>
          </w:p>
        </w:tc>
        <w:tc>
          <w:tcPr>
            <w:tcW w:w="613"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0</w:t>
            </w:r>
          </w:p>
        </w:tc>
        <w:tc>
          <w:tcPr>
            <w:tcW w:w="414"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0</w:t>
            </w:r>
          </w:p>
        </w:tc>
        <w:tc>
          <w:tcPr>
            <w:tcW w:w="613"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6"/>
                <w:szCs w:val="16"/>
                <w:bdr w:val="none" w:color="auto" w:sz="0" w:space="0"/>
                <w:shd w:val="clear" w:fill="FFFFFF"/>
                <w:lang w:val="en-US" w:eastAsia="zh-CN" w:bidi="ar"/>
              </w:rPr>
              <w:t>0</w:t>
            </w:r>
          </w:p>
        </w:tc>
        <w:tc>
          <w:tcPr>
            <w:tcW w:w="653"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6"/>
                <w:szCs w:val="16"/>
                <w:bdr w:val="none" w:color="auto" w:sz="0" w:space="0"/>
                <w:shd w:val="clear" w:fill="FFFFFF"/>
                <w:lang w:val="en-US" w:eastAsia="zh-CN" w:bidi="ar"/>
              </w:rPr>
              <w:t>0</w:t>
            </w:r>
          </w:p>
        </w:tc>
        <w:tc>
          <w:tcPr>
            <w:tcW w:w="614"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6"/>
                <w:szCs w:val="16"/>
                <w:bdr w:val="none" w:color="auto" w:sz="0" w:space="0"/>
                <w:shd w:val="clear" w:fill="FFFFFF"/>
                <w:lang w:val="en-US" w:eastAsia="zh-CN" w:bidi="ar"/>
              </w:rPr>
              <w:t>0</w:t>
            </w:r>
          </w:p>
        </w:tc>
        <w:tc>
          <w:tcPr>
            <w:tcW w:w="66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6"/>
                <w:szCs w:val="16"/>
                <w:bdr w:val="none" w:color="auto" w:sz="0" w:space="0"/>
                <w:shd w:val="clear" w:fill="FFFFFF"/>
                <w:lang w:val="en-US" w:eastAsia="zh-CN" w:bidi="ar"/>
              </w:rPr>
              <w:t>0</w:t>
            </w:r>
          </w:p>
        </w:tc>
        <w:tc>
          <w:tcPr>
            <w:tcW w:w="393"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6"/>
                <w:szCs w:val="16"/>
                <w:bdr w:val="none" w:color="auto" w:sz="0" w:space="0"/>
                <w:shd w:val="clear" w:fill="FFFFFF"/>
                <w:lang w:val="en-US" w:eastAsia="zh-CN" w:bidi="ar"/>
              </w:rPr>
              <w:t>0</w:t>
            </w:r>
          </w:p>
        </w:tc>
        <w:tc>
          <w:tcPr>
            <w:tcW w:w="66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6"/>
                <w:szCs w:val="16"/>
                <w:bdr w:val="none" w:color="auto" w:sz="0" w:space="0"/>
                <w:shd w:val="clear" w:fill="FFFFFF"/>
                <w:lang w:val="en-US" w:eastAsia="zh-CN" w:bidi="ar"/>
              </w:rPr>
              <w:t>0</w:t>
            </w:r>
          </w:p>
        </w:tc>
        <w:tc>
          <w:tcPr>
            <w:tcW w:w="607"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6"/>
                <w:szCs w:val="16"/>
                <w:bdr w:val="none" w:color="auto" w:sz="0" w:space="0"/>
                <w:shd w:val="clear" w:fill="FFFFFF"/>
                <w:lang w:val="en-US" w:eastAsia="zh-CN" w:bidi="ar"/>
              </w:rPr>
              <w:t>0</w:t>
            </w:r>
          </w:p>
        </w:tc>
        <w:tc>
          <w:tcPr>
            <w:tcW w:w="753"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6"/>
                <w:szCs w:val="16"/>
                <w:bdr w:val="none" w:color="auto" w:sz="0" w:space="0"/>
                <w:shd w:val="clear" w:fill="FFFFFF"/>
                <w:lang w:val="en-US" w:eastAsia="zh-CN" w:bidi="ar"/>
              </w:rPr>
              <w:t>0</w:t>
            </w:r>
          </w:p>
        </w:tc>
        <w:tc>
          <w:tcPr>
            <w:tcW w:w="600"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6"/>
                <w:szCs w:val="16"/>
                <w:bdr w:val="none" w:color="auto" w:sz="0" w:space="0"/>
                <w:shd w:val="clear" w:fill="FFFFFF"/>
                <w:lang w:val="en-US" w:eastAsia="zh-CN" w:bidi="ar"/>
              </w:rPr>
              <w:t>0</w:t>
            </w:r>
          </w:p>
        </w:tc>
        <w:tc>
          <w:tcPr>
            <w:tcW w:w="661" w:type="dxa"/>
            <w:tcBorders>
              <w:top w:val="single" w:color="000000" w:sz="2" w:space="0"/>
              <w:left w:val="single" w:color="000000" w:sz="2" w:space="0"/>
              <w:bottom w:val="single" w:color="000000" w:sz="6" w:space="0"/>
              <w:right w:val="single" w:color="000000"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i w:val="0"/>
                <w:iCs w:val="0"/>
                <w:caps w:val="0"/>
                <w:color w:val="000000"/>
                <w:spacing w:val="0"/>
                <w:kern w:val="0"/>
                <w:sz w:val="16"/>
                <w:szCs w:val="16"/>
                <w:bdr w:val="none" w:color="auto" w:sz="0" w:space="0"/>
                <w:shd w:val="clear" w:fill="FFFFFF"/>
                <w:lang w:val="en-US" w:eastAsia="zh-CN" w:bidi="ar"/>
              </w:rPr>
              <w:t>0</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b/>
          <w:bCs/>
          <w:i w:val="0"/>
          <w:iCs w:val="0"/>
          <w:caps w:val="0"/>
          <w:color w:val="333333"/>
          <w:spacing w:val="0"/>
          <w:kern w:val="0"/>
          <w:sz w:val="30"/>
          <w:szCs w:val="30"/>
          <w:bdr w:val="none" w:color="auto" w:sz="0" w:space="0"/>
          <w:shd w:val="clear" w:fill="FFFFFF"/>
          <w:lang w:val="en-US" w:eastAsia="zh-CN" w:bidi="ar"/>
        </w:rPr>
        <w:t>    五、存在的主要问题及改进情况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kern w:val="0"/>
          <w:sz w:val="30"/>
          <w:szCs w:val="30"/>
          <w:bdr w:val="none" w:color="auto" w:sz="0" w:space="0"/>
          <w:shd w:val="clear" w:fill="FFFFFF"/>
          <w:lang w:val="en-US" w:eastAsia="zh-CN" w:bidi="ar"/>
        </w:rPr>
        <w:t>    2021年，我局政务公开工作仍然存在很多不足，主要表现在：公开形式不够丰富，公开信息时效性有待提高，工作机制不够完善等方面。对照新形势下政府信息公开工作的部署和要求，我局开展了相应的整改行动，下一步我们将通过定期开展业务培训、向先进政务公开工作单位学习、进一步明确责任分工等措施细化工作，完善机制，进一步拓展政府信息公开渠道，切实执行落实好政府信息公开工作的新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b/>
          <w:bCs/>
          <w:i w:val="0"/>
          <w:iCs w:val="0"/>
          <w:caps w:val="0"/>
          <w:color w:val="333333"/>
          <w:spacing w:val="0"/>
          <w:kern w:val="0"/>
          <w:sz w:val="30"/>
          <w:szCs w:val="30"/>
          <w:bdr w:val="none" w:color="auto" w:sz="0" w:space="0"/>
          <w:shd w:val="clear" w:fill="FFFFFF"/>
          <w:lang w:val="en-US" w:eastAsia="zh-CN" w:bidi="ar"/>
        </w:rPr>
        <w:t>    六、其他需要报告的事项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kern w:val="0"/>
          <w:sz w:val="30"/>
          <w:szCs w:val="30"/>
          <w:bdr w:val="none" w:color="auto" w:sz="0" w:space="0"/>
          <w:shd w:val="clear" w:fill="FFFFFF"/>
          <w:lang w:val="en-US" w:eastAsia="zh-CN" w:bidi="ar"/>
        </w:rPr>
        <w:t>按照《国务院办公厅关于印发〈政府信息公开信息处理费管理办法〉的通知》（国办函〔2020〕109号）规定的按件、按量收费标准，2021年度我局未产生信息公开处理费。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right="0"/>
        <w:jc w:val="both"/>
        <w:rPr>
          <w:rFonts w:ascii="微软雅黑" w:hAnsi="微软雅黑" w:eastAsia="微软雅黑" w:cs="微软雅黑"/>
          <w:i w:val="0"/>
          <w:iCs w:val="0"/>
          <w:caps w:val="0"/>
          <w:color w:val="333333"/>
          <w:spacing w:val="0"/>
          <w:sz w:val="21"/>
          <w:szCs w:val="21"/>
        </w:rPr>
      </w:pPr>
      <w:r>
        <w:rPr>
          <w:rFonts w:ascii="仿宋_GB2312" w:hAnsi="微软雅黑" w:eastAsia="仿宋_GB2312" w:cs="仿宋_GB2312"/>
          <w:i w:val="0"/>
          <w:iCs w:val="0"/>
          <w:caps w:val="0"/>
          <w:color w:val="333333"/>
          <w:spacing w:val="0"/>
          <w:kern w:val="0"/>
          <w:sz w:val="32"/>
          <w:szCs w:val="32"/>
          <w:bdr w:val="none" w:color="auto" w:sz="0" w:space="0"/>
          <w:shd w:val="clear" w:fill="FFFFFF"/>
          <w:lang w:val="en-US" w:eastAsia="zh-CN" w:bidi="ar"/>
        </w:rPr>
        <w:br w:type="textWrapping"/>
      </w:r>
      <w:r>
        <w:rPr>
          <w:rFonts w:hint="eastAsia" w:ascii="仿宋_GB2312" w:hAnsi="微软雅黑" w:eastAsia="仿宋_GB2312" w:cs="仿宋_GB2312"/>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right"/>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kern w:val="0"/>
          <w:sz w:val="32"/>
          <w:szCs w:val="32"/>
          <w:bdr w:val="none" w:color="auto" w:sz="0" w:space="0"/>
          <w:shd w:val="clear" w:fill="FFFFFF"/>
          <w:lang w:val="en-US" w:eastAsia="zh-CN" w:bidi="ar"/>
        </w:rPr>
        <w:t>             金寨县水利局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right"/>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kern w:val="0"/>
          <w:sz w:val="32"/>
          <w:szCs w:val="32"/>
          <w:bdr w:val="none" w:color="auto" w:sz="0" w:space="0"/>
          <w:shd w:val="clear" w:fill="FFFFFF"/>
          <w:lang w:val="en-US" w:eastAsia="zh-CN" w:bidi="ar"/>
        </w:rPr>
        <w:t>        2022</w:t>
      </w:r>
      <w:bookmarkStart w:id="0" w:name="_GoBack"/>
      <w:bookmarkEnd w:id="0"/>
      <w:r>
        <w:rPr>
          <w:rFonts w:hint="eastAsia" w:ascii="仿宋_GB2312" w:hAnsi="微软雅黑" w:eastAsia="仿宋_GB2312" w:cs="仿宋_GB2312"/>
          <w:i w:val="0"/>
          <w:iCs w:val="0"/>
          <w:caps w:val="0"/>
          <w:color w:val="333333"/>
          <w:spacing w:val="0"/>
          <w:kern w:val="0"/>
          <w:sz w:val="32"/>
          <w:szCs w:val="32"/>
          <w:bdr w:val="none" w:color="auto" w:sz="0" w:space="0"/>
          <w:shd w:val="clear" w:fill="FFFFFF"/>
          <w:lang w:val="en-US" w:eastAsia="zh-CN" w:bidi="ar"/>
        </w:rPr>
        <w:t>年1月13日 </w:t>
      </w:r>
    </w:p>
    <w:p>
      <w:pPr>
        <w:rPr>
          <w:rFonts w:hint="eastAsia" w:ascii="方正小标宋简体" w:hAnsi="Times New Roman" w:eastAsia="方正小标宋简体" w:cs="Times New Roman"/>
          <w:sz w:val="40"/>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4ODFkNDBkYzM0YjQ4ZmJhN2Q3ZDZhNWQzZDM2MzQifQ=="/>
  </w:docVars>
  <w:rsids>
    <w:rsidRoot w:val="1007750D"/>
    <w:rsid w:val="10077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widowControl w:val="0"/>
      <w:spacing w:before="260" w:after="260" w:line="416" w:lineRule="auto"/>
      <w:jc w:val="both"/>
      <w:outlineLvl w:val="1"/>
    </w:pPr>
    <w:rPr>
      <w:rFonts w:ascii="Arial" w:hAnsi="Arial" w:eastAsia="黑体" w:cs="Times New Roman"/>
      <w:b/>
      <w:bCs/>
      <w:kern w:val="2"/>
      <w:sz w:val="32"/>
      <w:szCs w:val="3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2024-07-02T08:48:00Z</dcterms:created>
  <dc:creator>admin</dc:creator>
  <cp:lastModifiedBy>admin</cp:lastModifiedBy>
  <dcterms:modified xsi:type="dcterms:W3CDTF">2024-07-02T08:50:22Z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B012E747481F41C8A33C1E7477C3B791_11</vt:lpwstr>
  </property>
</Properties>
</file>