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720" w:lineRule="atLeast"/>
        <w:ind w:left="0" w:right="0" w:firstLine="0"/>
        <w:jc w:val="center"/>
        <w:rPr>
          <w:rFonts w:hint="eastAsia" w:ascii="微软雅黑" w:hAnsi="微软雅黑" w:eastAsia="微软雅黑" w:cs="微软雅黑"/>
          <w:b w:val="0"/>
          <w:bCs w:val="0"/>
          <w:i w:val="0"/>
          <w:iCs w:val="0"/>
          <w:caps w:val="0"/>
          <w:color w:val="000000"/>
          <w:spacing w:val="0"/>
          <w:sz w:val="45"/>
          <w:szCs w:val="45"/>
          <w:shd w:val="clear" w:fill="FFFFFF"/>
        </w:rPr>
      </w:pPr>
      <w:r>
        <w:rPr>
          <w:rFonts w:hint="eastAsia" w:ascii="微软雅黑" w:hAnsi="微软雅黑" w:eastAsia="微软雅黑" w:cs="微软雅黑"/>
          <w:b w:val="0"/>
          <w:bCs w:val="0"/>
          <w:i w:val="0"/>
          <w:iCs w:val="0"/>
          <w:caps w:val="0"/>
          <w:color w:val="000000"/>
          <w:spacing w:val="0"/>
          <w:sz w:val="45"/>
          <w:szCs w:val="45"/>
          <w:shd w:val="clear" w:fill="FFFFFF"/>
        </w:rPr>
        <w:t>金寨县教育局2019年政府信息公开工作年度报告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本报告依据《中华人民共和国政府信息公开条例》（国务院令第711号，以下简称新《条例》）《国务院办公厅政府信息与政务公开办公室关于政府信息公开工作年度报告有关事项的通知》（国办公开办函〔2019〕60号）和《安徽省政务公开办公室关于做好2019年度政府信息公开工作年度报告及统计数据报送有关工作的通知》（皖政务办秘〔2019〕43号）要求编制而成。报告主要包括：总体情况、主动公开政府信息情况、收到和处理政府信息公开申请情况、政府信息公开行政复议、行政诉讼情况、政府信息公开工作存在主要问题及改进情况和其他需要报告事项。本报告中使用数据统计期限为2019年1月1日至12月31日，报告的电子版可金寨县信息公开网（https://www.ahjinzhai.gov.cn/public/content/19201111）下载。如对本报告有任何疑问，请与金寨县教育局办公室联系（地址：梅山镇新河南路县教育局一楼，电话：0564--7062512，邮编：237300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仿宋_GB2312" w:eastAsia="仿宋_GB2312" w:cs="仿宋_GB2312"/>
          <w:i w:val="0"/>
          <w:iCs w:val="0"/>
          <w:caps w:val="0"/>
          <w:color w:val="333333"/>
          <w:spacing w:val="0"/>
          <w:sz w:val="32"/>
          <w:szCs w:val="32"/>
        </w:rPr>
      </w:pPr>
      <w:r>
        <w:rPr>
          <w:rFonts w:ascii="黑体" w:hAnsi="宋体" w:eastAsia="黑体" w:cs="黑体"/>
          <w:b/>
          <w:bCs/>
          <w:i w:val="0"/>
          <w:iCs w:val="0"/>
          <w:caps w:val="0"/>
          <w:color w:val="333333"/>
          <w:spacing w:val="0"/>
          <w:sz w:val="32"/>
          <w:szCs w:val="32"/>
          <w:shd w:val="clear"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一是公开招生政策和招生计划。县教育局公开了2019年义务教育阶段招生政策，公开省级示范性普通高中招生缺额计划征集志愿等招生信息。二是为体现教育财政公开，县教育局积极公布了直属学校2019年财政预算公开，2018年决算公开，2019年“三公”经费预算，2018“三公”经费决算公开，2019年财政专项资金（经费）预算等信息。三是国务院办公厅将“义务教育”纳入基层政务公开标准化规范化试点工作内容，金寨县又被列入试点县，教育局主动作为，大胆尝试，积极探索，快速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（二）依申请公开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县教育局认真贯彻落实《国务院办公厅关于做好政府信息依申请公开工作的意见》，深入研究并妥善处理新情况、新问题，注意加强与申请人的主动沟通，做到依法有据、严谨规范、慎重稳妥。积极做好信息公开的各项工作，严格执行政府工作信息依申请公开标准，继续在信息公开网上开通了“依申请公开”栏目，在局办公室设立了依申请公开现场受理点（档案借阅室）。本年度未收到依申请公开申请。</w:t>
      </w:r>
      <w:r>
        <w:rPr>
          <w:rFonts w:hint="eastAsia" w:ascii="仿宋_GB2312" w:hAnsi="宋体" w:eastAsia="仿宋_GB2312" w:cs="仿宋_GB2312"/>
          <w:i w:val="0"/>
          <w:iCs w:val="0"/>
          <w:caps w:val="0"/>
          <w:color w:val="333333"/>
          <w:spacing w:val="0"/>
          <w:sz w:val="32"/>
          <w:szCs w:val="32"/>
          <w:shd w:val="clear" w:fill="FFFFFF"/>
        </w:rPr>
        <w:br w:type="textWrapping"/>
      </w:r>
      <w:r>
        <w:rPr>
          <w:rFonts w:hint="eastAsia" w:ascii="仿宋_GB2312" w:hAnsi="宋体" w:eastAsia="仿宋_GB2312" w:cs="仿宋_GB2312"/>
          <w:i w:val="0"/>
          <w:iCs w:val="0"/>
          <w:caps w:val="0"/>
          <w:color w:val="333333"/>
          <w:spacing w:val="0"/>
          <w:sz w:val="32"/>
          <w:szCs w:val="32"/>
          <w:shd w:val="clear" w:fill="FFFFFF"/>
        </w:rPr>
        <w:t>    （三）政府信息管理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县教育局积极推进政务信息公开工作，不断提高信息公开质量。2019年，县教育局在信息公开网上主动公开政府信息1260余条，占应公开数的100%，在六安教育网、金寨先锋网、政府网等共编辑发布教育政务活动、文件及学校动态等信息980余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（四）政府信息公开平台建设情况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为更公开透明地开展信息公开工作，县教育局加强信息公开平台载体建设，进一步拓宽公开渠道，一是抓媒体公开。对民生工程、招生考试等群众关注的热点，都及时通过在线访谈等形式，全方位、多角度报道，让群众广为知晓。二是抓网络公开。2019年，在</w:t>
      </w:r>
      <w:r>
        <w:rPr>
          <w:rFonts w:hint="default" w:ascii="Times New Roman" w:hAnsi="Times New Roman" w:eastAsia="仿宋_GB2312" w:cs="Times New Roman"/>
          <w:i w:val="0"/>
          <w:iCs w:val="0"/>
          <w:caps w:val="0"/>
          <w:color w:val="333333"/>
          <w:spacing w:val="0"/>
          <w:sz w:val="32"/>
          <w:szCs w:val="32"/>
          <w:shd w:val="clear" w:fill="FFFFFF"/>
        </w:rPr>
        <w:t>“</w:t>
      </w:r>
      <w:r>
        <w:rPr>
          <w:rFonts w:hint="eastAsia" w:ascii="仿宋_GB2312" w:hAnsi="宋体" w:eastAsia="仿宋_GB2312" w:cs="仿宋_GB2312"/>
          <w:i w:val="0"/>
          <w:iCs w:val="0"/>
          <w:caps w:val="0"/>
          <w:color w:val="333333"/>
          <w:spacing w:val="0"/>
          <w:sz w:val="32"/>
          <w:szCs w:val="32"/>
          <w:shd w:val="clear" w:fill="FFFFFF"/>
        </w:rPr>
        <w:t>学习强国</w:t>
      </w:r>
      <w:r>
        <w:rPr>
          <w:rFonts w:hint="default" w:ascii="Times New Roman" w:hAnsi="Times New Roman" w:eastAsia="仿宋_GB2312" w:cs="Times New Roman"/>
          <w:i w:val="0"/>
          <w:iCs w:val="0"/>
          <w:caps w:val="0"/>
          <w:color w:val="333333"/>
          <w:spacing w:val="0"/>
          <w:sz w:val="32"/>
          <w:szCs w:val="32"/>
          <w:shd w:val="clear" w:fill="FFFFFF"/>
        </w:rPr>
        <w:t>”“</w:t>
      </w:r>
      <w:r>
        <w:rPr>
          <w:rFonts w:hint="eastAsia" w:ascii="仿宋_GB2312" w:hAnsi="宋体" w:eastAsia="仿宋_GB2312" w:cs="仿宋_GB2312"/>
          <w:i w:val="0"/>
          <w:iCs w:val="0"/>
          <w:caps w:val="0"/>
          <w:color w:val="333333"/>
          <w:spacing w:val="0"/>
          <w:sz w:val="32"/>
          <w:szCs w:val="32"/>
          <w:shd w:val="clear" w:fill="FFFFFF"/>
        </w:rPr>
        <w:t>主题教育</w:t>
      </w:r>
      <w:r>
        <w:rPr>
          <w:rFonts w:hint="default" w:ascii="Times New Roman" w:hAnsi="Times New Roman" w:eastAsia="仿宋_GB2312" w:cs="Times New Roman"/>
          <w:i w:val="0"/>
          <w:iCs w:val="0"/>
          <w:caps w:val="0"/>
          <w:color w:val="333333"/>
          <w:spacing w:val="0"/>
          <w:sz w:val="32"/>
          <w:szCs w:val="32"/>
          <w:shd w:val="clear" w:fill="FFFFFF"/>
        </w:rPr>
        <w:t>”“</w:t>
      </w:r>
      <w:r>
        <w:rPr>
          <w:rFonts w:hint="eastAsia" w:ascii="仿宋_GB2312" w:hAnsi="宋体" w:eastAsia="仿宋_GB2312" w:cs="仿宋_GB2312"/>
          <w:i w:val="0"/>
          <w:iCs w:val="0"/>
          <w:caps w:val="0"/>
          <w:color w:val="333333"/>
          <w:spacing w:val="0"/>
          <w:sz w:val="32"/>
          <w:szCs w:val="32"/>
          <w:shd w:val="clear" w:fill="FFFFFF"/>
        </w:rPr>
        <w:t>十九届四中全会</w:t>
      </w:r>
      <w:r>
        <w:rPr>
          <w:rFonts w:hint="default" w:ascii="Times New Roman" w:hAnsi="Times New Roman" w:eastAsia="仿宋_GB2312" w:cs="Times New Roman"/>
          <w:i w:val="0"/>
          <w:iCs w:val="0"/>
          <w:caps w:val="0"/>
          <w:color w:val="333333"/>
          <w:spacing w:val="0"/>
          <w:sz w:val="32"/>
          <w:szCs w:val="32"/>
          <w:shd w:val="clear" w:fill="FFFFFF"/>
        </w:rPr>
        <w:t>”</w:t>
      </w:r>
      <w:r>
        <w:rPr>
          <w:rFonts w:hint="eastAsia" w:ascii="仿宋_GB2312" w:hAnsi="宋体" w:eastAsia="仿宋_GB2312" w:cs="仿宋_GB2312"/>
          <w:i w:val="0"/>
          <w:iCs w:val="0"/>
          <w:caps w:val="0"/>
          <w:color w:val="333333"/>
          <w:spacing w:val="0"/>
          <w:sz w:val="32"/>
          <w:szCs w:val="32"/>
          <w:shd w:val="clear" w:fill="FFFFFF"/>
        </w:rPr>
        <w:t>中，及时刊登中央精神、学习资料，实时更新全县教育系统开展学习宣传贯彻的进展和成效。三是抓查阅点公开。在我局资料室设立了政府信息公开查阅中心，为公众提供县教育局主动公开的政府信息。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（五）监督保障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eastAsia="仿宋_GB2312" w:cs="仿宋_GB2312"/>
          <w:i w:val="0"/>
          <w:iCs w:val="0"/>
          <w:caps w:val="0"/>
          <w:color w:val="333333"/>
          <w:spacing w:val="0"/>
          <w:sz w:val="24"/>
          <w:szCs w:val="24"/>
        </w:rPr>
      </w:pPr>
      <w:r>
        <w:rPr>
          <w:rFonts w:hint="eastAsia" w:ascii="仿宋_GB2312" w:eastAsia="仿宋_GB2312" w:cs="仿宋_GB2312"/>
          <w:i w:val="0"/>
          <w:iCs w:val="0"/>
          <w:caps w:val="0"/>
          <w:color w:val="333333"/>
          <w:spacing w:val="0"/>
          <w:sz w:val="32"/>
          <w:szCs w:val="32"/>
          <w:shd w:val="clear" w:fill="FFFFFF"/>
        </w:rPr>
        <w:t>2019年，县教育局为做好政务公开工作，鉴于人事变动，县教育局调整了政务公开工作领导小组，领导小组下设办公室，办公室挂靠局办公室，统筹协调县教育局政务公开工作。县教育局多次在局政治业务学习会上，对全局干部进行培训，布置信息公开工作，致力于畅通信息公开渠道，为信息公开工作夯实基础。同时，县教育局还将责任落实到人，专门确定办公室一名工作人员为技术人员，具体承担政务信息公开工作，定期向外公布教育局政务信息。</w:t>
      </w:r>
      <w:r>
        <w:rPr>
          <w:rFonts w:hint="eastAsia" w:ascii="仿宋_GB2312" w:eastAsia="仿宋_GB2312" w:cs="仿宋_GB2312"/>
          <w:i w:val="0"/>
          <w:iCs w:val="0"/>
          <w:caps w:val="0"/>
          <w:color w:val="333333"/>
          <w:spacing w:val="0"/>
          <w:sz w:val="32"/>
          <w:szCs w:val="32"/>
          <w:shd w:val="clear" w:fill="FFFFFF"/>
        </w:rPr>
        <w:br w:type="textWrapping"/>
      </w:r>
      <w:r>
        <w:rPr>
          <w:rFonts w:hint="eastAsia" w:ascii="黑体" w:hAnsi="宋体" w:eastAsia="黑体" w:cs="黑体"/>
          <w:b/>
          <w:bCs/>
          <w:i w:val="0"/>
          <w:iCs w:val="0"/>
          <w:caps w:val="0"/>
          <w:color w:val="333333"/>
          <w:spacing w:val="0"/>
          <w:sz w:val="32"/>
          <w:szCs w:val="32"/>
          <w:shd w:val="clear" w:fill="FFFFFF"/>
        </w:rPr>
        <w:t>二、主动公开政府信息情况</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1"/>
        <w:gridCol w:w="2101"/>
        <w:gridCol w:w="2117"/>
        <w:gridCol w:w="2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6" w:space="0"/>
              <w:left w:val="single" w:color="auto" w:sz="6" w:space="0"/>
              <w:bottom w:val="single" w:color="auto" w:sz="6" w:space="0"/>
              <w:right w:val="single" w:color="auto" w:sz="6"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信息内容</w:t>
            </w:r>
          </w:p>
        </w:tc>
        <w:tc>
          <w:tcPr>
            <w:tcW w:w="2435"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本年制发件数</w:t>
            </w:r>
          </w:p>
        </w:tc>
        <w:tc>
          <w:tcPr>
            <w:tcW w:w="2435"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本年废止件数</w:t>
            </w:r>
          </w:p>
        </w:tc>
        <w:tc>
          <w:tcPr>
            <w:tcW w:w="2435"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规章</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0　　</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0 　</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eastAsia="仿宋_GB2312" w:cs="仿宋_GB2312"/>
                <w:sz w:val="32"/>
                <w:szCs w:val="32"/>
              </w:rPr>
            </w:pPr>
            <w:r>
              <w:rPr>
                <w:rFonts w:hint="eastAsia" w:ascii="宋体" w:hAnsi="宋体" w:eastAsia="宋体" w:cs="宋体"/>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行政规范性文件</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0　　</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0 　</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信息内容</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行政许可</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ascii="Calibri" w:hAnsi="Calibri" w:eastAsia="仿宋_GB2312" w:cs="Calibri"/>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信息内容</w:t>
            </w:r>
          </w:p>
        </w:tc>
        <w:tc>
          <w:tcPr>
            <w:tcW w:w="7305" w:type="dxa"/>
            <w:gridSpan w:val="3"/>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4"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行政处罚</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行政强制</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信息内容</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行政事业性收费</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eastAsia="仿宋_GB2312" w:cs="仿宋_GB2312"/>
                <w:sz w:val="32"/>
                <w:szCs w:val="32"/>
              </w:rPr>
            </w:pPr>
            <w:r>
              <w:rPr>
                <w:rFonts w:hint="eastAsia" w:ascii="宋体" w:hAnsi="宋体" w:eastAsia="宋体" w:cs="宋体"/>
                <w:sz w:val="24"/>
                <w:szCs w:val="24"/>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eastAsia="仿宋_GB2312" w:cs="仿宋_GB2312"/>
          <w:i w:val="0"/>
          <w:iCs w:val="0"/>
          <w:caps w:val="0"/>
          <w:color w:val="333333"/>
          <w:spacing w:val="0"/>
          <w:sz w:val="24"/>
          <w:szCs w:val="24"/>
        </w:rPr>
      </w:pPr>
      <w:r>
        <w:rPr>
          <w:rFonts w:hint="eastAsia" w:ascii="黑体" w:hAnsi="宋体" w:eastAsia="黑体" w:cs="黑体"/>
          <w:b/>
          <w:bCs/>
          <w:i w:val="0"/>
          <w:iCs w:val="0"/>
          <w:caps w:val="0"/>
          <w:color w:val="333333"/>
          <w:spacing w:val="0"/>
          <w:sz w:val="32"/>
          <w:szCs w:val="32"/>
          <w:shd w:val="clear" w:fill="FFFFFF"/>
        </w:rPr>
        <w:t>三、收到和处理政府信息公开申请情况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eastAsia="仿宋_GB2312" w:cs="仿宋_GB2312"/>
          <w:i w:val="0"/>
          <w:iCs w:val="0"/>
          <w:caps w:val="0"/>
          <w:color w:val="333333"/>
          <w:spacing w:val="0"/>
          <w:sz w:val="24"/>
          <w:szCs w:val="24"/>
        </w:rPr>
      </w:pPr>
      <w:r>
        <w:rPr>
          <w:rFonts w:hint="eastAsia" w:ascii="仿宋_GB2312" w:eastAsia="仿宋_GB2312" w:cs="仿宋_GB2312"/>
          <w:i w:val="0"/>
          <w:iCs w:val="0"/>
          <w:caps w:val="0"/>
          <w:color w:val="333333"/>
          <w:spacing w:val="0"/>
          <w:sz w:val="24"/>
          <w:szCs w:val="24"/>
          <w:shd w:val="clear" w:fill="FFFFFF"/>
        </w:rPr>
        <w:t> </w:t>
      </w:r>
    </w:p>
    <w:tbl>
      <w:tblPr>
        <w:tblStyle w:val="4"/>
        <w:tblW w:w="9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29" w:type="dxa"/>
            <w:gridSpan w:val="3"/>
            <w:vMerge w:val="restart"/>
            <w:tcBorders>
              <w:top w:val="single" w:color="auto" w:sz="6" w:space="0"/>
              <w:left w:val="single" w:color="auto" w:sz="6" w:space="0"/>
              <w:bottom w:val="outset"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ascii="楷体" w:hAnsi="楷体" w:eastAsia="楷体" w:cs="楷体"/>
                <w:sz w:val="20"/>
                <w:szCs w:val="20"/>
              </w:rPr>
              <w:t>（本列数据的勾稽关系为：第一项加第二项之和，等于第三项加第四项之和）</w:t>
            </w:r>
          </w:p>
        </w:tc>
        <w:tc>
          <w:tcPr>
            <w:tcW w:w="4816" w:type="dxa"/>
            <w:gridSpan w:val="7"/>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88" w:type="dxa"/>
            <w:vMerge w:val="restart"/>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自然人</w:t>
            </w:r>
          </w:p>
        </w:tc>
        <w:tc>
          <w:tcPr>
            <w:tcW w:w="3440" w:type="dxa"/>
            <w:gridSpan w:val="5"/>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法人或其他组织</w:t>
            </w:r>
          </w:p>
        </w:tc>
        <w:tc>
          <w:tcPr>
            <w:tcW w:w="688" w:type="dxa"/>
            <w:vMerge w:val="restart"/>
            <w:tcBorders>
              <w:top w:val="single" w:color="auto" w:sz="6" w:space="0"/>
              <w:left w:val="nil"/>
              <w:bottom w:val="outset"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88"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企业</w:t>
            </w: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机构</w:t>
            </w:r>
          </w:p>
        </w:tc>
        <w:tc>
          <w:tcPr>
            <w:tcW w:w="688"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社会公益组织</w:t>
            </w:r>
          </w:p>
        </w:tc>
        <w:tc>
          <w:tcPr>
            <w:tcW w:w="688"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法律服务机构</w:t>
            </w:r>
          </w:p>
        </w:tc>
        <w:tc>
          <w:tcPr>
            <w:tcW w:w="688"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其他</w:t>
            </w:r>
          </w:p>
        </w:tc>
        <w:tc>
          <w:tcPr>
            <w:tcW w:w="688" w:type="dxa"/>
            <w:vMerge w:val="continue"/>
            <w:tcBorders>
              <w:top w:val="single" w:color="auto" w:sz="6" w:space="0"/>
              <w:left w:val="nil"/>
              <w:bottom w:val="outset" w:color="auto" w:sz="6" w:space="0"/>
              <w:right w:val="single" w:color="auto" w:sz="6"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一、本年新收政府信息公开申请数量</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二、上年结转政府信息公开申请数量</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restart"/>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三、本年度办理结果</w:t>
            </w: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（一）予以公开</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single" w:color="auto" w:sz="6" w:space="0"/>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（二）部分公开</w:t>
            </w:r>
            <w:r>
              <w:rPr>
                <w:rFonts w:hint="eastAsia" w:ascii="楷体" w:hAnsi="楷体" w:eastAsia="楷体" w:cs="楷体"/>
                <w:sz w:val="20"/>
                <w:szCs w:val="20"/>
              </w:rPr>
              <w:t>（区分处理的，只计这一情形，不计其他情形）</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（三）不予公开</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default" w:ascii="Times New Roman" w:hAnsi="Times New Roman" w:eastAsia="仿宋_GB2312" w:cs="Times New Roman"/>
                <w:sz w:val="20"/>
                <w:szCs w:val="20"/>
              </w:rPr>
              <w:t>1</w:t>
            </w:r>
            <w:r>
              <w:rPr>
                <w:rFonts w:hint="eastAsia" w:ascii="宋体" w:hAnsi="宋体" w:eastAsia="宋体" w:cs="宋体"/>
                <w:sz w:val="20"/>
                <w:szCs w:val="20"/>
              </w:rPr>
              <w:t>.属于国家秘密</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single" w:color="auto" w:sz="6" w:space="0"/>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default" w:ascii="Times New Roman" w:hAnsi="Times New Roman" w:eastAsia="仿宋_GB2312" w:cs="Times New Roman"/>
                <w:sz w:val="20"/>
                <w:szCs w:val="20"/>
              </w:rPr>
              <w:t>2</w:t>
            </w:r>
            <w:r>
              <w:rPr>
                <w:rFonts w:hint="eastAsia" w:ascii="宋体" w:hAnsi="宋体" w:eastAsia="宋体" w:cs="宋体"/>
                <w:sz w:val="20"/>
                <w:szCs w:val="20"/>
              </w:rPr>
              <w:t>.其他法律行政法规禁止公开</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default" w:ascii="Times New Roman" w:hAnsi="Times New Roman" w:eastAsia="仿宋_GB2312" w:cs="Times New Roman"/>
                <w:sz w:val="20"/>
                <w:szCs w:val="20"/>
              </w:rPr>
              <w:t>3</w:t>
            </w:r>
            <w:r>
              <w:rPr>
                <w:rFonts w:hint="eastAsia" w:ascii="宋体" w:hAnsi="宋体" w:eastAsia="宋体" w:cs="宋体"/>
                <w:sz w:val="20"/>
                <w:szCs w:val="20"/>
              </w:rPr>
              <w:t>.危及“三安全一稳定”</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default" w:ascii="Times New Roman" w:hAnsi="Times New Roman" w:eastAsia="仿宋_GB2312" w:cs="Times New Roman"/>
                <w:sz w:val="20"/>
                <w:szCs w:val="20"/>
              </w:rPr>
              <w:t>4</w:t>
            </w:r>
            <w:r>
              <w:rPr>
                <w:rFonts w:hint="eastAsia" w:ascii="宋体" w:hAnsi="宋体" w:eastAsia="宋体" w:cs="宋体"/>
                <w:sz w:val="20"/>
                <w:szCs w:val="20"/>
              </w:rPr>
              <w:t>.保护第三方合法权益</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default" w:ascii="Times New Roman" w:hAnsi="Times New Roman" w:eastAsia="仿宋_GB2312" w:cs="Times New Roman"/>
                <w:sz w:val="20"/>
                <w:szCs w:val="20"/>
              </w:rPr>
              <w:t>5</w:t>
            </w:r>
            <w:r>
              <w:rPr>
                <w:rFonts w:hint="eastAsia" w:ascii="宋体" w:hAnsi="宋体" w:eastAsia="宋体" w:cs="宋体"/>
                <w:sz w:val="20"/>
                <w:szCs w:val="20"/>
              </w:rPr>
              <w:t>.属于三类内部事务信息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default" w:ascii="Times New Roman" w:hAnsi="Times New Roman" w:eastAsia="仿宋_GB2312" w:cs="Times New Roman"/>
                <w:sz w:val="20"/>
                <w:szCs w:val="20"/>
              </w:rPr>
              <w:t>6</w:t>
            </w:r>
            <w:r>
              <w:rPr>
                <w:rFonts w:hint="eastAsia" w:ascii="宋体" w:hAnsi="宋体" w:eastAsia="宋体" w:cs="宋体"/>
                <w:sz w:val="20"/>
                <w:szCs w:val="20"/>
              </w:rPr>
              <w:t>.属于四类过程性信息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default" w:ascii="Times New Roman" w:hAnsi="Times New Roman" w:eastAsia="仿宋_GB2312" w:cs="Times New Roman"/>
                <w:sz w:val="20"/>
                <w:szCs w:val="20"/>
              </w:rPr>
              <w:t>7</w:t>
            </w:r>
            <w:r>
              <w:rPr>
                <w:rFonts w:hint="eastAsia" w:ascii="宋体" w:hAnsi="宋体" w:eastAsia="宋体" w:cs="宋体"/>
                <w:sz w:val="20"/>
                <w:szCs w:val="20"/>
              </w:rPr>
              <w:t>.属于行政执法案卷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default" w:ascii="Times New Roman" w:hAnsi="Times New Roman" w:eastAsia="仿宋_GB2312" w:cs="Times New Roman"/>
                <w:sz w:val="20"/>
                <w:szCs w:val="20"/>
              </w:rPr>
              <w:t>8</w:t>
            </w:r>
            <w:r>
              <w:rPr>
                <w:rFonts w:hint="eastAsia" w:ascii="宋体" w:hAnsi="宋体" w:eastAsia="宋体" w:cs="宋体"/>
                <w:sz w:val="20"/>
                <w:szCs w:val="20"/>
              </w:rPr>
              <w:t>.属于行政查询事项</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（四）无法提供</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default" w:ascii="Times New Roman" w:hAnsi="Times New Roman" w:eastAsia="仿宋_GB2312" w:cs="Times New Roman"/>
                <w:sz w:val="20"/>
                <w:szCs w:val="20"/>
              </w:rPr>
              <w:t>1</w:t>
            </w:r>
            <w:r>
              <w:rPr>
                <w:rFonts w:hint="eastAsia" w:ascii="宋体" w:hAnsi="宋体" w:eastAsia="宋体" w:cs="宋体"/>
                <w:sz w:val="20"/>
                <w:szCs w:val="20"/>
              </w:rPr>
              <w:t>.本机关不掌握相关政府信息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default" w:ascii="Times New Roman" w:hAnsi="Times New Roman" w:eastAsia="仿宋_GB2312" w:cs="Times New Roman"/>
                <w:sz w:val="20"/>
                <w:szCs w:val="20"/>
              </w:rPr>
              <w:t>2</w:t>
            </w:r>
            <w:r>
              <w:rPr>
                <w:rFonts w:hint="eastAsia" w:ascii="宋体" w:hAnsi="宋体" w:eastAsia="宋体" w:cs="宋体"/>
                <w:sz w:val="20"/>
                <w:szCs w:val="20"/>
              </w:rPr>
              <w:t>.没有现成信息需要另行制作</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default" w:ascii="Times New Roman" w:hAnsi="Times New Roman" w:eastAsia="仿宋_GB2312" w:cs="Times New Roman"/>
                <w:sz w:val="20"/>
                <w:szCs w:val="20"/>
              </w:rPr>
              <w:t>3</w:t>
            </w:r>
            <w:r>
              <w:rPr>
                <w:rFonts w:hint="eastAsia" w:ascii="宋体" w:hAnsi="宋体" w:eastAsia="宋体" w:cs="宋体"/>
                <w:sz w:val="20"/>
                <w:szCs w:val="20"/>
              </w:rPr>
              <w:t>.补正后申请内容仍不明确</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（五）不予处理</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default" w:ascii="Times New Roman" w:hAnsi="Times New Roman" w:eastAsia="仿宋_GB2312" w:cs="Times New Roman"/>
                <w:sz w:val="20"/>
                <w:szCs w:val="20"/>
              </w:rPr>
              <w:t>1</w:t>
            </w:r>
            <w:r>
              <w:rPr>
                <w:rFonts w:hint="eastAsia" w:ascii="宋体" w:hAnsi="宋体" w:eastAsia="宋体" w:cs="宋体"/>
                <w:sz w:val="20"/>
                <w:szCs w:val="20"/>
              </w:rPr>
              <w:t>.信访举报投诉类申请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default" w:ascii="Times New Roman" w:hAnsi="Times New Roman" w:eastAsia="仿宋_GB2312" w:cs="Times New Roman"/>
                <w:sz w:val="20"/>
                <w:szCs w:val="20"/>
              </w:rPr>
              <w:t>2</w:t>
            </w:r>
            <w:r>
              <w:rPr>
                <w:rFonts w:hint="eastAsia" w:ascii="宋体" w:hAnsi="宋体" w:eastAsia="宋体" w:cs="宋体"/>
                <w:sz w:val="20"/>
                <w:szCs w:val="20"/>
              </w:rPr>
              <w:t>.重复申请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default" w:ascii="Times New Roman" w:hAnsi="Times New Roman" w:eastAsia="仿宋_GB2312" w:cs="Times New Roman"/>
                <w:sz w:val="20"/>
                <w:szCs w:val="20"/>
              </w:rPr>
              <w:t>3</w:t>
            </w:r>
            <w:r>
              <w:rPr>
                <w:rFonts w:hint="eastAsia" w:ascii="宋体" w:hAnsi="宋体" w:eastAsia="宋体" w:cs="宋体"/>
                <w:sz w:val="20"/>
                <w:szCs w:val="20"/>
              </w:rPr>
              <w:t>.要求提供公开出版物</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default" w:ascii="Times New Roman" w:hAnsi="Times New Roman" w:eastAsia="仿宋_GB2312" w:cs="Times New Roman"/>
                <w:sz w:val="20"/>
                <w:szCs w:val="20"/>
              </w:rPr>
              <w:t>4</w:t>
            </w:r>
            <w:r>
              <w:rPr>
                <w:rFonts w:hint="eastAsia" w:ascii="宋体" w:hAnsi="宋体" w:eastAsia="宋体" w:cs="宋体"/>
                <w:sz w:val="20"/>
                <w:szCs w:val="20"/>
              </w:rPr>
              <w:t>.无正当理由大量反复申请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9"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outset"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5</w:t>
            </w:r>
            <w:r>
              <w:rPr>
                <w:rFonts w:hint="eastAsia" w:ascii="宋体" w:hAnsi="宋体" w:eastAsia="宋体" w:cs="宋体"/>
                <w:sz w:val="20"/>
                <w:szCs w:val="20"/>
              </w:rPr>
              <w:t>.要求行政机关确认或重新出具已获取信息</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（六）其他处理</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1</w:t>
            </w:r>
            <w:r>
              <w:rPr>
                <w:rFonts w:hint="eastAsia" w:ascii="宋体" w:hAnsi="宋体" w:eastAsia="宋体" w:cs="宋体"/>
                <w:sz w:val="20"/>
                <w:szCs w:val="20"/>
              </w:rPr>
              <w:t>.申请人无正当理由逾期不补正、行政机关不再处理其政府信息公开申请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2</w:t>
            </w:r>
            <w:r>
              <w:rPr>
                <w:rFonts w:hint="eastAsia" w:ascii="宋体" w:hAnsi="宋体" w:eastAsia="宋体" w:cs="宋体"/>
                <w:sz w:val="20"/>
                <w:szCs w:val="20"/>
              </w:rPr>
              <w:t>.申请人逾期未按收费通知要求缴纳费用、行政机关不再处理其政府信息公开申请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default" w:ascii="Times New Roman" w:hAnsi="Times New Roman" w:eastAsia="仿宋_GB2312" w:cs="Times New Roman"/>
                <w:sz w:val="20"/>
                <w:szCs w:val="20"/>
              </w:rPr>
              <w:t>3</w:t>
            </w:r>
            <w:r>
              <w:rPr>
                <w:rFonts w:hint="eastAsia" w:ascii="宋体" w:hAnsi="宋体" w:eastAsia="宋体" w:cs="宋体"/>
                <w:sz w:val="20"/>
                <w:szCs w:val="20"/>
              </w:rPr>
              <w:t>.其他</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rPr>
                <w:rFonts w:hint="default" w:ascii="Times New Roman" w:hAnsi="Times New Roman" w:cs="Times New Roman"/>
                <w:sz w:val="20"/>
                <w:szCs w:val="20"/>
              </w:rPr>
            </w:pP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（七）总计</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eastAsia="仿宋_GB2312" w:cs="仿宋_GB2312"/>
                <w:sz w:val="32"/>
                <w:szCs w:val="32"/>
              </w:rPr>
            </w:pPr>
            <w:r>
              <w:rPr>
                <w:rFonts w:hint="eastAsia" w:ascii="宋体" w:hAnsi="宋体" w:eastAsia="宋体" w:cs="宋体"/>
                <w:sz w:val="20"/>
                <w:szCs w:val="20"/>
              </w:rPr>
              <w:t>四、结转下年度继续办理</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eastAsia="仿宋_GB2312" w:cs="仿宋_GB2312"/>
          <w:i w:val="0"/>
          <w:iCs w:val="0"/>
          <w:caps w:val="0"/>
          <w:color w:val="333333"/>
          <w:spacing w:val="0"/>
          <w:sz w:val="24"/>
          <w:szCs w:val="24"/>
        </w:rPr>
      </w:pPr>
      <w:r>
        <w:rPr>
          <w:rFonts w:hint="eastAsia" w:ascii="黑体" w:hAnsi="宋体" w:eastAsia="黑体" w:cs="黑体"/>
          <w:b/>
          <w:bCs/>
          <w:i w:val="0"/>
          <w:iCs w:val="0"/>
          <w:caps w:val="0"/>
          <w:color w:val="333333"/>
          <w:spacing w:val="0"/>
          <w:sz w:val="32"/>
          <w:szCs w:val="32"/>
          <w:shd w:val="clear" w:fill="FFFFFF"/>
        </w:rPr>
        <w:t>四、政府信息公开行政复议、行政诉讼情况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行政复议</w:t>
            </w:r>
          </w:p>
        </w:tc>
        <w:tc>
          <w:tcPr>
            <w:tcW w:w="6498" w:type="dxa"/>
            <w:gridSpan w:val="10"/>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结果维持</w:t>
            </w:r>
          </w:p>
        </w:tc>
        <w:tc>
          <w:tcPr>
            <w:tcW w:w="649"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纠正</w:t>
            </w:r>
          </w:p>
        </w:tc>
        <w:tc>
          <w:tcPr>
            <w:tcW w:w="649"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结果</w:t>
            </w:r>
          </w:p>
        </w:tc>
        <w:tc>
          <w:tcPr>
            <w:tcW w:w="649"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审结</w:t>
            </w:r>
          </w:p>
        </w:tc>
        <w:tc>
          <w:tcPr>
            <w:tcW w:w="649"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总计</w:t>
            </w:r>
          </w:p>
        </w:tc>
        <w:tc>
          <w:tcPr>
            <w:tcW w:w="3248" w:type="dxa"/>
            <w:gridSpan w:val="5"/>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未经复议直接起诉</w:t>
            </w:r>
          </w:p>
        </w:tc>
        <w:tc>
          <w:tcPr>
            <w:tcW w:w="3250" w:type="dxa"/>
            <w:gridSpan w:val="5"/>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9" w:type="dxa"/>
            <w:vMerge w:val="continue"/>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维持</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纠正</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结果</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审结</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总计</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维持</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纠正</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结果</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仿宋_GB2312" w:hAnsi="Times New Roman"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审结</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eastAsia" w:ascii="宋体" w:hAnsi="宋体" w:eastAsia="宋体" w:cs="宋体"/>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2" w:hRule="atLeast"/>
          <w:jc w:val="center"/>
        </w:trPr>
        <w:tc>
          <w:tcPr>
            <w:tcW w:w="649"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0 </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0 </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0 </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0 </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0 </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0 </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eastAsia="仿宋_GB2312" w:cs="仿宋_GB2312"/>
                <w:sz w:val="32"/>
                <w:szCs w:val="32"/>
              </w:rPr>
            </w:pPr>
            <w:r>
              <w:rPr>
                <w:rFonts w:hint="default" w:ascii="Calibri" w:hAnsi="Calibri" w:eastAsia="仿宋_GB2312" w:cs="Calibri"/>
                <w:sz w:val="20"/>
                <w:szCs w:val="20"/>
              </w:rPr>
              <w:t>0 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eastAsia="仿宋_GB2312" w:cs="仿宋_GB2312"/>
                <w:sz w:val="32"/>
                <w:szCs w:val="32"/>
              </w:rPr>
            </w:pPr>
            <w:r>
              <w:rPr>
                <w:rFonts w:hint="default" w:ascii="Calibri" w:hAnsi="Calibri" w:eastAsia="仿宋_GB2312" w:cs="Calibri"/>
                <w:sz w:val="20"/>
                <w:szCs w:val="20"/>
              </w:rPr>
              <w:t>0 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eastAsia="仿宋_GB2312" w:cs="仿宋_GB2312"/>
          <w:i w:val="0"/>
          <w:iCs w:val="0"/>
          <w:caps w:val="0"/>
          <w:color w:val="333333"/>
          <w:spacing w:val="0"/>
          <w:sz w:val="24"/>
          <w:szCs w:val="24"/>
        </w:rPr>
      </w:pPr>
      <w:r>
        <w:rPr>
          <w:rFonts w:hint="eastAsia" w:ascii="黑体" w:hAnsi="宋体" w:eastAsia="黑体" w:cs="黑体"/>
          <w:b/>
          <w:bCs/>
          <w:i w:val="0"/>
          <w:iCs w:val="0"/>
          <w:caps w:val="0"/>
          <w:color w:val="333333"/>
          <w:spacing w:val="0"/>
          <w:sz w:val="32"/>
          <w:szCs w:val="32"/>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eastAsia="仿宋_GB2312" w:cs="仿宋_GB2312"/>
          <w:i w:val="0"/>
          <w:iCs w:val="0"/>
          <w:caps w:val="0"/>
          <w:color w:val="333333"/>
          <w:spacing w:val="0"/>
          <w:sz w:val="24"/>
          <w:szCs w:val="24"/>
        </w:rPr>
      </w:pPr>
      <w:r>
        <w:rPr>
          <w:rFonts w:hint="eastAsia" w:ascii="仿宋_GB2312" w:eastAsia="仿宋_GB2312" w:cs="仿宋_GB2312"/>
          <w:i w:val="0"/>
          <w:iCs w:val="0"/>
          <w:caps w:val="0"/>
          <w:color w:val="333333"/>
          <w:spacing w:val="0"/>
          <w:sz w:val="32"/>
          <w:szCs w:val="32"/>
          <w:shd w:val="clear" w:fill="FFFFFF"/>
        </w:rPr>
        <w:t>2019年，县教育局政务公开工作取得了新的成效，被评为全县基层政务公开先进单位，但仍存在信息公开内容不全、对直属学校教育信息公开指导力度不够等问题。2020年，县教育局将深入学习贯彻习近平新时代中国特色社会主义思想和党的十九届四中全会精神，严格执行《中华人民共和国政府信息公开条例》等一系列要求，结合教育工作实际，以更加强烈的责任感、使命感和紧迫感，积极做好教育信息公开工作，及时回应社会关切问题，正确引导社会舆论，不断提高教育工作透明度，自觉接受社会和群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42"/>
        <w:jc w:val="both"/>
        <w:rPr>
          <w:rFonts w:hint="eastAsia" w:ascii="仿宋_GB2312" w:eastAsia="仿宋_GB2312" w:cs="仿宋_GB2312"/>
          <w:i w:val="0"/>
          <w:iCs w:val="0"/>
          <w:caps w:val="0"/>
          <w:color w:val="333333"/>
          <w:spacing w:val="0"/>
          <w:sz w:val="24"/>
          <w:szCs w:val="24"/>
        </w:rPr>
      </w:pPr>
      <w:r>
        <w:rPr>
          <w:rFonts w:hint="eastAsia" w:ascii="黑体" w:hAnsi="宋体" w:eastAsia="黑体" w:cs="黑体"/>
          <w:b/>
          <w:bCs/>
          <w:i w:val="0"/>
          <w:iCs w:val="0"/>
          <w:caps w:val="0"/>
          <w:color w:val="333333"/>
          <w:spacing w:val="0"/>
          <w:sz w:val="32"/>
          <w:szCs w:val="32"/>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eastAsia="仿宋_GB2312" w:cs="仿宋_GB2312"/>
          <w:i w:val="0"/>
          <w:iCs w:val="0"/>
          <w:caps w:val="0"/>
          <w:color w:val="333333"/>
          <w:spacing w:val="0"/>
          <w:sz w:val="32"/>
          <w:szCs w:val="32"/>
          <w:shd w:val="clear" w:fill="FFFFFF"/>
        </w:rPr>
      </w:pPr>
      <w:r>
        <w:rPr>
          <w:rFonts w:hint="eastAsia" w:ascii="仿宋_GB2312" w:eastAsia="仿宋_GB2312" w:cs="仿宋_GB2312"/>
          <w:i w:val="0"/>
          <w:iCs w:val="0"/>
          <w:caps w:val="0"/>
          <w:color w:val="333333"/>
          <w:spacing w:val="0"/>
          <w:sz w:val="32"/>
          <w:szCs w:val="32"/>
          <w:shd w:val="clear" w:fill="FFFFFF"/>
        </w:rPr>
        <w:t>本年度没有产生信息公开处理费。</w:t>
      </w:r>
    </w:p>
    <w:p>
      <w:pPr>
        <w:pStyle w:val="3"/>
        <w:keepNext w:val="0"/>
        <w:keepLines w:val="0"/>
        <w:widowControl/>
        <w:suppressLineNumbers w:val="0"/>
        <w:shd w:val="clear" w:fill="FFFFFF"/>
        <w:spacing w:before="0" w:beforeAutospacing="0" w:after="0" w:afterAutospacing="0"/>
        <w:ind w:left="0" w:right="320" w:firstLine="640"/>
        <w:jc w:val="right"/>
        <w:rPr>
          <w:rFonts w:hint="eastAsia" w:ascii="宋体" w:hAnsi="宋体" w:eastAsia="宋体" w:cs="宋体"/>
          <w:sz w:val="24"/>
          <w:szCs w:val="24"/>
        </w:rPr>
      </w:pPr>
      <w:r>
        <w:rPr>
          <w:rFonts w:hint="eastAsia" w:ascii="仿宋" w:hAnsi="仿宋" w:eastAsia="仿宋" w:cs="仿宋"/>
          <w:color w:val="000000"/>
          <w:sz w:val="32"/>
          <w:szCs w:val="32"/>
          <w:shd w:val="clear" w:fill="FFFFFF"/>
        </w:rPr>
        <w:t>金寨县教育局</w:t>
      </w:r>
    </w:p>
    <w:p>
      <w:pPr>
        <w:pStyle w:val="3"/>
        <w:keepNext w:val="0"/>
        <w:keepLines w:val="0"/>
        <w:widowControl/>
        <w:suppressLineNumbers w:val="0"/>
        <w:shd w:val="clear" w:fill="FFFFFF"/>
        <w:spacing w:before="0" w:beforeAutospacing="0" w:after="0" w:afterAutospacing="0"/>
        <w:ind w:left="0" w:right="0" w:firstLine="640"/>
        <w:jc w:val="right"/>
        <w:rPr>
          <w:rFonts w:hint="eastAsia" w:ascii="宋体" w:hAnsi="宋体" w:eastAsia="宋体" w:cs="宋体"/>
          <w:sz w:val="24"/>
          <w:szCs w:val="24"/>
        </w:rPr>
      </w:pPr>
      <w:r>
        <w:rPr>
          <w:rFonts w:hint="default" w:ascii="Times New Roman" w:hAnsi="Times New Roman" w:eastAsia="宋体" w:cs="Times New Roman"/>
          <w:color w:val="000000"/>
          <w:sz w:val="32"/>
          <w:szCs w:val="32"/>
          <w:shd w:val="clear" w:fill="FFFFFF"/>
        </w:rPr>
        <w:t>2021</w:t>
      </w:r>
      <w:r>
        <w:rPr>
          <w:rFonts w:hint="eastAsia" w:ascii="仿宋" w:hAnsi="仿宋" w:eastAsia="仿宋" w:cs="仿宋"/>
          <w:color w:val="000000"/>
          <w:sz w:val="32"/>
          <w:szCs w:val="32"/>
          <w:shd w:val="clear" w:fill="FFFFFF"/>
        </w:rPr>
        <w:t>年</w:t>
      </w:r>
      <w:r>
        <w:rPr>
          <w:rFonts w:hint="default" w:ascii="Times New Roman" w:hAnsi="Times New Roman" w:eastAsia="宋体" w:cs="Times New Roman"/>
          <w:color w:val="000000"/>
          <w:sz w:val="32"/>
          <w:szCs w:val="32"/>
          <w:shd w:val="clear" w:fill="FFFFFF"/>
        </w:rPr>
        <w:t>1</w:t>
      </w:r>
      <w:r>
        <w:rPr>
          <w:rFonts w:hint="eastAsia" w:ascii="仿宋" w:hAnsi="仿宋" w:eastAsia="仿宋" w:cs="仿宋"/>
          <w:color w:val="000000"/>
          <w:sz w:val="32"/>
          <w:szCs w:val="32"/>
          <w:shd w:val="clear" w:fill="FFFFFF"/>
        </w:rPr>
        <w:t>月</w:t>
      </w:r>
      <w:r>
        <w:rPr>
          <w:rFonts w:hint="default" w:ascii="Times New Roman" w:hAnsi="Times New Roman" w:eastAsia="宋体" w:cs="Times New Roman"/>
          <w:color w:val="000000"/>
          <w:sz w:val="32"/>
          <w:szCs w:val="32"/>
          <w:shd w:val="clear" w:fill="FFFFFF"/>
        </w:rPr>
        <w:t>15</w:t>
      </w:r>
      <w:r>
        <w:rPr>
          <w:rFonts w:hint="eastAsia" w:ascii="仿宋" w:hAnsi="仿宋" w:eastAsia="仿宋" w:cs="仿宋"/>
          <w:color w:val="000000"/>
          <w:sz w:val="32"/>
          <w:szCs w:val="32"/>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eastAsia="仿宋_GB2312" w:cs="仿宋_GB2312"/>
          <w:i w:val="0"/>
          <w:iCs w:val="0"/>
          <w:caps w:val="0"/>
          <w:color w:val="333333"/>
          <w:spacing w:val="0"/>
          <w:sz w:val="32"/>
          <w:szCs w:val="32"/>
          <w:shd w:val="clear" w:fill="FFFFFF"/>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NDFiYWUyNDY0ZDU3YmQwNjhhOWI1YzU2NWY0ZjUifQ=="/>
  </w:docVars>
  <w:rsids>
    <w:rsidRoot w:val="00000000"/>
    <w:rsid w:val="22C1451C"/>
    <w:rsid w:val="59601F20"/>
    <w:rsid w:val="6D9C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2490</Words>
  <Characters>2641</Characters>
  <Lines>0</Lines>
  <Paragraphs>0</Paragraphs>
  <TotalTime>0</TotalTime>
  <ScaleCrop>false</ScaleCrop>
  <LinksUpToDate>false</LinksUpToDate>
  <CharactersWithSpaces>2692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2024-07-03T00:09:00Z</dcterms:created>
  <dc:creator>Administrator</dc:creator>
  <cp:lastModifiedBy>哎呦喂</cp:lastModifiedBy>
  <dcterms:modified xsi:type="dcterms:W3CDTF">2024-07-03T00:17:49Z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DEC930AEBE354F929119EF7648685EA4_13</vt:lpwstr>
  </property>
</Properties>
</file>