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1" w:beforeAutospacing="0" w:after="141" w:afterAutospacing="0" w:line="720" w:lineRule="atLeast"/>
        <w:ind w:left="0" w:right="0" w:firstLine="0"/>
        <w:jc w:val="center"/>
        <w:rPr>
          <w:rFonts w:hint="eastAsia" w:ascii="微软雅黑" w:hAnsi="微软雅黑" w:eastAsia="微软雅黑" w:cs="微软雅黑"/>
          <w:b w:val="0"/>
          <w:bCs w:val="0"/>
          <w:i w:val="0"/>
          <w:iCs w:val="0"/>
          <w:caps w:val="0"/>
          <w:color w:val="000000"/>
          <w:spacing w:val="0"/>
          <w:sz w:val="45"/>
          <w:szCs w:val="45"/>
        </w:rPr>
      </w:pPr>
      <w:r>
        <w:rPr>
          <w:rFonts w:hint="eastAsia" w:ascii="微软雅黑" w:hAnsi="微软雅黑" w:eastAsia="微软雅黑" w:cs="微软雅黑"/>
          <w:b w:val="0"/>
          <w:bCs w:val="0"/>
          <w:i w:val="0"/>
          <w:iCs w:val="0"/>
          <w:caps w:val="0"/>
          <w:color w:val="000000"/>
          <w:spacing w:val="0"/>
          <w:sz w:val="45"/>
          <w:szCs w:val="45"/>
          <w:bdr w:val="none" w:color="auto" w:sz="0" w:space="0"/>
          <w:shd w:val="clear" w:fill="FFFFFF"/>
        </w:rPr>
        <w:t>金寨县教育局2021年政府信息公开工作年度报告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本报告依据《中华人民共和国政府信息公开条例》（国务院令第711号，以下简称新《条例》）《金寨县政务公开办公室关于做好政府信息公开年度报告编制和发布工作的通知》（金政公开〔2021〕28号）文件要求编制而成。报告主要包括：总体情况、主动公开政府信息情况、收到和处理政府信息公开申请情况、政府信息公开行政复议、行政诉讼情况、存在的主要问题及改进情况和其他需要报告的事项。本报告中使用数据统计期限为2021年1月1日至12月31日，报告的电子版可在金寨县信息公开网（</w:t>
      </w:r>
      <w:r>
        <w:rPr>
          <w:rFonts w:hint="eastAsia" w:ascii="仿宋" w:hAnsi="仿宋" w:eastAsia="仿宋" w:cs="仿宋"/>
          <w:i w:val="0"/>
          <w:iCs w:val="0"/>
          <w:caps w:val="0"/>
          <w:color w:val="333333"/>
          <w:spacing w:val="0"/>
          <w:sz w:val="32"/>
          <w:szCs w:val="32"/>
          <w:u w:val="none"/>
          <w:bdr w:val="none" w:color="auto" w:sz="0" w:space="0"/>
          <w:shd w:val="clear" w:fill="FFFFFF"/>
        </w:rPr>
        <w:fldChar w:fldCharType="begin"/>
      </w:r>
      <w:r>
        <w:rPr>
          <w:rFonts w:hint="eastAsia" w:ascii="仿宋" w:hAnsi="仿宋" w:eastAsia="仿宋" w:cs="仿宋"/>
          <w:i w:val="0"/>
          <w:iCs w:val="0"/>
          <w:caps w:val="0"/>
          <w:color w:val="333333"/>
          <w:spacing w:val="0"/>
          <w:sz w:val="32"/>
          <w:szCs w:val="32"/>
          <w:u w:val="none"/>
          <w:bdr w:val="none" w:color="auto" w:sz="0" w:space="0"/>
          <w:shd w:val="clear" w:fill="FFFFFF"/>
        </w:rPr>
        <w:instrText xml:space="preserve"> HYPERLINK "https://www.ahjinzhai.gov.cn/public/content/34908040" </w:instrText>
      </w:r>
      <w:r>
        <w:rPr>
          <w:rFonts w:hint="eastAsia" w:ascii="仿宋" w:hAnsi="仿宋" w:eastAsia="仿宋" w:cs="仿宋"/>
          <w:i w:val="0"/>
          <w:iCs w:val="0"/>
          <w:caps w:val="0"/>
          <w:color w:val="333333"/>
          <w:spacing w:val="0"/>
          <w:sz w:val="32"/>
          <w:szCs w:val="32"/>
          <w:u w:val="none"/>
          <w:bdr w:val="none" w:color="auto" w:sz="0" w:space="0"/>
          <w:shd w:val="clear" w:fill="FFFFFF"/>
        </w:rPr>
        <w:fldChar w:fldCharType="separate"/>
      </w:r>
      <w:r>
        <w:rPr>
          <w:rStyle w:val="6"/>
          <w:rFonts w:hint="eastAsia" w:ascii="仿宋" w:hAnsi="仿宋" w:eastAsia="仿宋" w:cs="仿宋"/>
          <w:i w:val="0"/>
          <w:iCs w:val="0"/>
          <w:caps w:val="0"/>
          <w:color w:val="333333"/>
          <w:spacing w:val="0"/>
          <w:sz w:val="32"/>
          <w:szCs w:val="32"/>
          <w:u w:val="none"/>
          <w:bdr w:val="none" w:color="auto" w:sz="0" w:space="0"/>
          <w:shd w:val="clear" w:fill="FFFFFF"/>
        </w:rPr>
        <w:t>https://www.ahjinzhai.gov.cn/public/content/34908040</w:t>
      </w:r>
      <w:r>
        <w:rPr>
          <w:rFonts w:hint="eastAsia" w:ascii="仿宋" w:hAnsi="仿宋" w:eastAsia="仿宋" w:cs="仿宋"/>
          <w:i w:val="0"/>
          <w:iCs w:val="0"/>
          <w:caps w:val="0"/>
          <w:color w:val="333333"/>
          <w:spacing w:val="0"/>
          <w:sz w:val="32"/>
          <w:szCs w:val="32"/>
          <w:u w:val="none"/>
          <w:bdr w:val="none" w:color="auto" w:sz="0" w:space="0"/>
          <w:shd w:val="clear" w:fill="FFFFFF"/>
        </w:rPr>
        <w:fldChar w:fldCharType="end"/>
      </w:r>
      <w:r>
        <w:rPr>
          <w:rFonts w:hint="eastAsia" w:ascii="仿宋" w:hAnsi="仿宋" w:eastAsia="仿宋" w:cs="仿宋"/>
          <w:i w:val="0"/>
          <w:iCs w:val="0"/>
          <w:caps w:val="0"/>
          <w:color w:val="333333"/>
          <w:spacing w:val="0"/>
          <w:sz w:val="32"/>
          <w:szCs w:val="32"/>
          <w:bdr w:val="none" w:color="auto" w:sz="0" w:space="0"/>
          <w:shd w:val="clear" w:fill="FFFFFF"/>
        </w:rPr>
        <w:t>）下载。如对本报告有任何疑问，请与金寨县教育局办公室联系（地址：梅山镇新河南路县教育局一楼，电话：0564--7062512，邮编：237300）。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333333"/>
          <w:spacing w:val="0"/>
          <w:sz w:val="32"/>
          <w:szCs w:val="32"/>
        </w:rPr>
      </w:pPr>
      <w:r>
        <w:rPr>
          <w:rFonts w:ascii="黑体" w:hAnsi="宋体" w:eastAsia="黑体" w:cs="黑体"/>
          <w:i w:val="0"/>
          <w:iCs w:val="0"/>
          <w:caps w:val="0"/>
          <w:color w:val="333333"/>
          <w:spacing w:val="0"/>
          <w:sz w:val="32"/>
          <w:szCs w:val="32"/>
          <w:bdr w:val="none" w:color="auto" w:sz="0" w:space="0"/>
          <w:shd w:val="clear" w:fill="FFFFFF"/>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微软雅黑" w:hAnsi="微软雅黑" w:eastAsia="微软雅黑" w:cs="微软雅黑"/>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金寨县教育局严格按照省市县关于政府信息公开工作的部署与要求，全面推进政府信息公开工作，持续加大教育领域信息公开力度，不断优化服务，积极履行信息公开工作部门职责。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2"/>
          <w:szCs w:val="32"/>
        </w:rPr>
      </w:pPr>
      <w:r>
        <w:rPr>
          <w:rFonts w:ascii="楷体" w:hAnsi="楷体" w:eastAsia="楷体" w:cs="楷体"/>
          <w:b/>
          <w:bCs/>
          <w:i w:val="0"/>
          <w:iCs w:val="0"/>
          <w:caps w:val="0"/>
          <w:color w:val="333333"/>
          <w:spacing w:val="0"/>
          <w:sz w:val="32"/>
          <w:szCs w:val="32"/>
          <w:bdr w:val="none" w:color="auto" w:sz="0" w:space="0"/>
          <w:shd w:val="clear" w:fill="FFFFFF"/>
        </w:rPr>
        <w:t>（一）主动公开情况</w:t>
      </w:r>
    </w:p>
    <w:p>
      <w:pPr>
        <w:keepNext w:val="0"/>
        <w:keepLines w:val="0"/>
        <w:widowControl/>
        <w:suppressLineNumbers w:val="0"/>
        <w:jc w:val="left"/>
      </w:pPr>
      <w:r>
        <w:rPr>
          <w:rFonts w:ascii="仿宋_GB2312" w:hAnsi="微软雅黑" w:eastAsia="仿宋_GB2312" w:cs="仿宋_GB2312"/>
          <w:i w:val="0"/>
          <w:iCs w:val="0"/>
          <w:caps w:val="0"/>
          <w:color w:val="333333"/>
          <w:spacing w:val="0"/>
          <w:kern w:val="0"/>
          <w:sz w:val="21"/>
          <w:szCs w:val="21"/>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坚持以公开为常态，深入推进教育领域行政决策公开、执行公开、管理公开、服务公开和结果公开，围绕“双减”、教育规划、招生就学、教育收费、教师招聘、评先评优、学校安全、“双随机、一公开”监管等教育重点领域及公众关注热点问题加大公开力度，确保教育政务信息依法及时得到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仿宋" w:hAnsi="仿宋" w:eastAsia="仿宋" w:cs="仿宋"/>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bdr w:val="none" w:color="auto" w:sz="0" w:space="0"/>
          <w:shd w:val="clear" w:fill="FFFFFF"/>
        </w:rPr>
        <w:t>（二）依申请公开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333333"/>
          <w:spacing w:val="0"/>
          <w:sz w:val="32"/>
          <w:szCs w:val="32"/>
        </w:rPr>
      </w:pPr>
      <w:r>
        <w:rPr>
          <w:rFonts w:hint="eastAsia" w:ascii="仿宋_GB2312" w:hAnsi="仿宋" w:eastAsia="仿宋_GB2312" w:cs="仿宋_GB2312"/>
          <w:i w:val="0"/>
          <w:iCs w:val="0"/>
          <w:caps w:val="0"/>
          <w:color w:val="333333"/>
          <w:spacing w:val="0"/>
          <w:sz w:val="32"/>
          <w:szCs w:val="32"/>
          <w:bdr w:val="none" w:color="auto" w:sz="0" w:space="0"/>
          <w:shd w:val="clear" w:fill="FFFFFF"/>
        </w:rPr>
        <w:t>严格执行《条例》有关要求，畅通政府信息公开申请受理渠道，积极</w:t>
      </w:r>
      <w:r>
        <w:rPr>
          <w:rFonts w:hint="eastAsia" w:ascii="仿宋" w:hAnsi="仿宋" w:eastAsia="仿宋" w:cs="仿宋"/>
          <w:i w:val="0"/>
          <w:iCs w:val="0"/>
          <w:caps w:val="0"/>
          <w:color w:val="333333"/>
          <w:spacing w:val="0"/>
          <w:sz w:val="32"/>
          <w:szCs w:val="32"/>
          <w:bdr w:val="none" w:color="auto" w:sz="0" w:space="0"/>
          <w:shd w:val="clear" w:fill="FFFFFF"/>
        </w:rPr>
        <w:t>开展依申请公开新平台培训，熟练操作和使用新平台，规范答复流程。2021年县教育局未收到政府信息依申请公开申请。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bdr w:val="none" w:color="auto" w:sz="0" w:space="0"/>
          <w:shd w:val="clear" w:fill="FFFFFF"/>
        </w:rPr>
        <w:t>（三）政府信息管理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进一步完善信息公开内容，围绕群众关心、社会关注、与群众利益关系最为密切的教育培训、教育资助政策等重要事项、办事流程等作为政府信息公开的主要内容，不断优化政府信息公开涵盖面。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bdr w:val="none" w:color="auto" w:sz="0" w:space="0"/>
          <w:shd w:val="clear" w:fill="FFFFFF"/>
        </w:rPr>
        <w:t>（四）政府信息公开平台建设情况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县教育局在县委县政府的指导下，优化平台建设，精简平台内容，形成立体化教育信息宣传发布机制，打造高效惠民的服务型教育信息公开网络平台。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bdr w:val="none" w:color="auto" w:sz="0" w:space="0"/>
          <w:shd w:val="clear" w:fill="FFFFFF"/>
        </w:rPr>
        <w:t>（五）监督保障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金寨县教育局政务公开工作由专门科室负责，配备一名专职主任，一名专职工作人员。建立健全工作制度，保证信息公开工作有序推进，将工作职能、办事程序和标准应公尽公，积极为群众提供优质服务。同时配合上级部门开展季度监测，将季度监测整改情况发布在部门网站上，广泛接受社会各界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二、主动公开政府信息情况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093"/>
        <w:gridCol w:w="2109"/>
        <w:gridCol w:w="2109"/>
        <w:gridCol w:w="21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信息内容</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本年</w:t>
            </w:r>
            <w:r>
              <w:rPr>
                <w:rFonts w:hint="eastAsia" w:ascii="宋体" w:hAnsi="宋体" w:eastAsia="宋体" w:cs="宋体"/>
                <w:sz w:val="20"/>
                <w:szCs w:val="20"/>
                <w:bdr w:val="none" w:color="auto" w:sz="0" w:space="0"/>
              </w:rPr>
              <w:t>制发件数</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本年废止件数</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现行有效件</w:t>
            </w:r>
            <w:r>
              <w:rPr>
                <w:rFonts w:hint="eastAsia" w:ascii="宋体" w:hAnsi="宋体" w:eastAsia="宋体" w:cs="宋体"/>
                <w:sz w:val="20"/>
                <w:szCs w:val="20"/>
                <w:bdr w:val="none" w:color="auto" w:sz="0" w:space="0"/>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规章</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 0</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 0</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行政规范性文件</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20"/>
                <w:szCs w:val="20"/>
                <w:bdr w:val="none" w:color="auto" w:sz="0" w:space="0"/>
              </w:rPr>
              <w:t>0</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0 </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信息内容</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行政许可</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ascii="Calibri" w:hAnsi="Calibri" w:eastAsia="仿宋" w:cs="Calibri"/>
                <w:sz w:val="21"/>
                <w:szCs w:val="21"/>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信息内容</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行政处罚</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行政强制</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信息内容</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行政事业性收费</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 w:hAnsi="仿宋" w:eastAsia="仿宋" w:cs="仿宋"/>
                <w:sz w:val="32"/>
                <w:szCs w:val="32"/>
              </w:rPr>
            </w:pPr>
            <w:r>
              <w:rPr>
                <w:rFonts w:hint="eastAsia" w:ascii="宋体" w:hAnsi="宋体" w:eastAsia="宋体" w:cs="宋体"/>
                <w:sz w:val="24"/>
                <w:szCs w:val="24"/>
                <w:bdr w:val="none" w:color="auto" w:sz="0" w:space="0"/>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三、收到和处理政府信息公开申请情况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tbl>
      <w:tblPr>
        <w:tblW w:w="975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67"/>
        <w:gridCol w:w="943"/>
        <w:gridCol w:w="3221"/>
        <w:gridCol w:w="688"/>
        <w:gridCol w:w="688"/>
        <w:gridCol w:w="688"/>
        <w:gridCol w:w="688"/>
        <w:gridCol w:w="689"/>
        <w:gridCol w:w="689"/>
        <w:gridCol w:w="6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inset"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楷体" w:hAnsi="楷体" w:eastAsia="楷体" w:cs="楷体"/>
                <w:sz w:val="20"/>
                <w:szCs w:val="20"/>
                <w:bdr w:val="none" w:color="auto" w:sz="0" w:space="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bdr w:val="none" w:color="auto" w:sz="0" w:space="0"/>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inset"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bdr w:val="none" w:color="auto" w:sz="0" w:space="0"/>
              </w:rPr>
              <w:t>自然人</w:t>
            </w:r>
          </w:p>
        </w:tc>
        <w:tc>
          <w:tcPr>
            <w:tcW w:w="3440" w:type="dxa"/>
            <w:gridSpan w:val="5"/>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bdr w:val="none" w:color="auto" w:sz="0" w:space="0"/>
              </w:rPr>
              <w:t>法人或其他组织</w:t>
            </w:r>
          </w:p>
        </w:tc>
        <w:tc>
          <w:tcPr>
            <w:tcW w:w="688" w:type="dxa"/>
            <w:vMerge w:val="restart"/>
            <w:tcBorders>
              <w:top w:val="nil"/>
              <w:left w:val="nil"/>
              <w:bottom w:val="inset"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bdr w:val="none" w:color="auto" w:sz="0" w:space="0"/>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inset"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bdr w:val="none" w:color="auto" w:sz="0" w:space="0"/>
              </w:rPr>
              <w:t>商业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bdr w:val="none" w:color="auto" w:sz="0" w:space="0"/>
              </w:rPr>
              <w:t>企业</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bdr w:val="none" w:color="auto" w:sz="0" w:space="0"/>
              </w:rPr>
              <w:t>科研</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bdr w:val="none" w:color="auto" w:sz="0" w:space="0"/>
              </w:rPr>
              <w:t>机构</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bdr w:val="none" w:color="auto" w:sz="0" w:space="0"/>
              </w:rPr>
              <w:t>社会公益组织</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bdr w:val="none" w:color="auto" w:sz="0" w:space="0"/>
              </w:rPr>
              <w:t>法律服务机构</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bdr w:val="none" w:color="auto" w:sz="0" w:space="0"/>
              </w:rPr>
              <w:t>其他</w:t>
            </w:r>
          </w:p>
        </w:tc>
        <w:tc>
          <w:tcPr>
            <w:tcW w:w="688" w:type="dxa"/>
            <w:vMerge w:val="continue"/>
            <w:tcBorders>
              <w:top w:val="nil"/>
              <w:left w:val="nil"/>
              <w:bottom w:val="inset" w:color="auto" w:sz="8" w:space="0"/>
              <w:right w:val="single" w:color="auto" w:sz="8" w:space="0"/>
            </w:tcBorders>
            <w:shd w:val="clear"/>
            <w:tcMar>
              <w:left w:w="57" w:type="dxa"/>
              <w:right w:w="57"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bdr w:val="none" w:color="auto" w:sz="0" w:space="0"/>
              </w:rPr>
              <w:t>一、本年新收政府信息公开申请数量</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1</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bdr w:val="none" w:color="auto" w:sz="0" w:space="0"/>
              </w:rPr>
              <w:t>二、上年结转政府信息公开申请数量</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inset"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bdr w:val="none" w:color="auto" w:sz="0" w:space="0"/>
              </w:rPr>
              <w:t>三、本年度办理结果</w:t>
            </w:r>
          </w:p>
        </w:tc>
        <w:tc>
          <w:tcPr>
            <w:tcW w:w="4162" w:type="dxa"/>
            <w:gridSpan w:val="2"/>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bdr w:val="none" w:color="auto" w:sz="0" w:space="0"/>
              </w:rPr>
              <w:t>（一）予以公开</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4162" w:type="dxa"/>
            <w:gridSpan w:val="2"/>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bdr w:val="none" w:color="auto" w:sz="0" w:space="0"/>
              </w:rPr>
              <w:t>（二）部分公开</w:t>
            </w:r>
            <w:r>
              <w:rPr>
                <w:rFonts w:hint="eastAsia" w:ascii="楷体" w:hAnsi="楷体" w:eastAsia="楷体" w:cs="楷体"/>
                <w:sz w:val="20"/>
                <w:szCs w:val="20"/>
                <w:bdr w:val="none" w:color="auto" w:sz="0" w:space="0"/>
              </w:rPr>
              <w:t>（区分处理的，只计这一情形，不计其他情形）</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restart"/>
            <w:tcBorders>
              <w:top w:val="nil"/>
              <w:left w:val="nil"/>
              <w:bottom w:val="inset"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bdr w:val="none" w:color="auto" w:sz="0" w:space="0"/>
              </w:rPr>
              <w:t>（三）不予公开</w:t>
            </w:r>
          </w:p>
        </w:tc>
        <w:tc>
          <w:tcPr>
            <w:tcW w:w="3219" w:type="dxa"/>
            <w:tcBorders>
              <w:top w:val="nil"/>
              <w:left w:val="nil"/>
              <w:bottom w:val="single" w:color="auto" w:sz="8" w:space="0"/>
              <w:right w:val="single" w:color="auto" w:sz="8"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bdr w:val="none" w:color="auto" w:sz="0" w:space="0"/>
              </w:rPr>
              <w:t>1.属于国家秘密</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in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bdr w:val="none" w:color="auto" w:sz="0" w:space="0"/>
              </w:rPr>
              <w:t>2.其他法律行政法规禁止公开</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in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bdr w:val="none" w:color="auto" w:sz="0" w:space="0"/>
              </w:rPr>
              <w:t>3.危及“三安全一稳定”</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in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bdr w:val="none" w:color="auto" w:sz="0" w:space="0"/>
              </w:rPr>
              <w:t>4.保护第三方合法权益</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in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bdr w:val="none" w:color="auto" w:sz="0" w:space="0"/>
              </w:rPr>
              <w:t>5.属于三类内部事务信息</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in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bdr w:val="none" w:color="auto" w:sz="0" w:space="0"/>
              </w:rPr>
              <w:t>6.属于四类过程性信息</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in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bdr w:val="none" w:color="auto" w:sz="0" w:space="0"/>
              </w:rPr>
              <w:t>7.属于行政执法案卷</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in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bdr w:val="none" w:color="auto" w:sz="0" w:space="0"/>
              </w:rPr>
              <w:t>8.属于行政查询事项</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restart"/>
            <w:tcBorders>
              <w:top w:val="nil"/>
              <w:left w:val="nil"/>
              <w:bottom w:val="inset"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bdr w:val="none" w:color="auto" w:sz="0" w:space="0"/>
              </w:rPr>
              <w:t>（四）无法提供</w:t>
            </w:r>
          </w:p>
        </w:tc>
        <w:tc>
          <w:tcPr>
            <w:tcW w:w="3219" w:type="dxa"/>
            <w:tcBorders>
              <w:top w:val="nil"/>
              <w:left w:val="nil"/>
              <w:bottom w:val="single" w:color="auto" w:sz="8" w:space="0"/>
              <w:right w:val="single" w:color="auto" w:sz="8"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bdr w:val="none" w:color="auto" w:sz="0" w:space="0"/>
              </w:rPr>
              <w:t>1.本机关不掌握相关政府信息</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in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bdr w:val="none" w:color="auto" w:sz="0" w:space="0"/>
              </w:rPr>
              <w:t>2.没有现成信息需要另行制作</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in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bdr w:val="none" w:color="auto" w:sz="0" w:space="0"/>
              </w:rPr>
              <w:t>3.补正后申请内容仍不明确</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restart"/>
            <w:tcBorders>
              <w:top w:val="nil"/>
              <w:left w:val="nil"/>
              <w:bottom w:val="inset"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bdr w:val="none" w:color="auto" w:sz="0" w:space="0"/>
              </w:rPr>
              <w:t>（五）不予处理</w:t>
            </w:r>
          </w:p>
        </w:tc>
        <w:tc>
          <w:tcPr>
            <w:tcW w:w="3219" w:type="dxa"/>
            <w:tcBorders>
              <w:top w:val="nil"/>
              <w:left w:val="nil"/>
              <w:bottom w:val="single" w:color="auto" w:sz="8" w:space="0"/>
              <w:right w:val="single" w:color="auto" w:sz="8"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bdr w:val="none" w:color="auto" w:sz="0" w:space="0"/>
              </w:rPr>
              <w:t>1.信访举报投诉类申请</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in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bdr w:val="none" w:color="auto" w:sz="0" w:space="0"/>
              </w:rPr>
              <w:t>2.重复申请</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in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bdr w:val="none" w:color="auto" w:sz="0" w:space="0"/>
              </w:rPr>
              <w:t>3.要求提供公开出版物</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in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bdr w:val="none" w:color="auto" w:sz="0" w:space="0"/>
              </w:rPr>
              <w:t>4.无正当理由大量反复申请</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in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19" w:type="dxa"/>
            <w:tcBorders>
              <w:top w:val="nil"/>
              <w:left w:val="nil"/>
              <w:bottom w:val="inset"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 w:hAnsi="仿宋" w:eastAsia="仿宋" w:cs="仿宋"/>
                <w:sz w:val="32"/>
                <w:szCs w:val="32"/>
              </w:rPr>
            </w:pPr>
            <w:r>
              <w:rPr>
                <w:rFonts w:hint="eastAsia" w:ascii="宋体" w:hAnsi="宋体" w:eastAsia="宋体" w:cs="宋体"/>
                <w:sz w:val="20"/>
                <w:szCs w:val="20"/>
                <w:bdr w:val="none" w:color="auto" w:sz="0" w:space="0"/>
              </w:rPr>
              <w:t>5.要求行政机关确认或重新出具已获取信息</w:t>
            </w:r>
          </w:p>
        </w:tc>
        <w:tc>
          <w:tcPr>
            <w:tcW w:w="688" w:type="dxa"/>
            <w:tcBorders>
              <w:top w:val="nil"/>
              <w:left w:val="nil"/>
              <w:bottom w:val="inset"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inset"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inset"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inset"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inset"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inset"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inset"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restart"/>
            <w:tcBorders>
              <w:top w:val="nil"/>
              <w:left w:val="nil"/>
              <w:bottom w:val="inset"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bdr w:val="none" w:color="auto" w:sz="0" w:space="0"/>
              </w:rPr>
              <w:t>（六）其他处理</w:t>
            </w:r>
          </w:p>
        </w:tc>
        <w:tc>
          <w:tcPr>
            <w:tcW w:w="3219"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 w:hAnsi="仿宋" w:eastAsia="仿宋" w:cs="仿宋"/>
                <w:sz w:val="32"/>
                <w:szCs w:val="32"/>
              </w:rPr>
            </w:pPr>
            <w:r>
              <w:rPr>
                <w:rFonts w:hint="eastAsia" w:ascii="宋体" w:hAnsi="宋体" w:eastAsia="宋体" w:cs="宋体"/>
                <w:sz w:val="20"/>
                <w:szCs w:val="20"/>
                <w:bdr w:val="none" w:color="auto" w:sz="0" w:space="0"/>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in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 w:hAnsi="仿宋" w:eastAsia="仿宋" w:cs="仿宋"/>
                <w:sz w:val="32"/>
                <w:szCs w:val="32"/>
              </w:rPr>
            </w:pPr>
            <w:r>
              <w:rPr>
                <w:rFonts w:hint="eastAsia" w:ascii="宋体" w:hAnsi="宋体" w:eastAsia="宋体" w:cs="宋体"/>
                <w:sz w:val="20"/>
                <w:szCs w:val="20"/>
                <w:bdr w:val="none" w:color="auto" w:sz="0" w:space="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in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bdr w:val="none" w:color="auto" w:sz="0" w:space="0"/>
              </w:rPr>
              <w:t>3.其他</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4162" w:type="dxa"/>
            <w:gridSpan w:val="2"/>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bdr w:val="none" w:color="auto" w:sz="0" w:space="0"/>
              </w:rPr>
              <w:t>（七）总计</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 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 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 0</w:t>
            </w:r>
          </w:p>
        </w:tc>
        <w:tc>
          <w:tcPr>
            <w:tcW w:w="688" w:type="dxa"/>
            <w:tcBorders>
              <w:top w:val="nil"/>
              <w:left w:val="nil"/>
              <w:bottom w:val="single" w:color="auto" w:sz="8" w:space="0"/>
              <w:right w:val="single" w:color="auto" w:sz="8"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bdr w:val="none" w:color="auto" w:sz="0" w:space="0"/>
              </w:rPr>
              <w:t>四、结转下年度继续办理</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 1</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 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 0</w:t>
            </w:r>
          </w:p>
        </w:tc>
        <w:tc>
          <w:tcPr>
            <w:tcW w:w="688" w:type="dxa"/>
            <w:tcBorders>
              <w:top w:val="nil"/>
              <w:left w:val="nil"/>
              <w:bottom w:val="single" w:color="auto" w:sz="8" w:space="0"/>
              <w:right w:val="single" w:color="auto" w:sz="8"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1 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四、政府信息公开行政复议、行政诉讼情况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 </w:t>
      </w:r>
    </w:p>
    <w:tbl>
      <w:tblPr>
        <w:tblW w:w="975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49"/>
        <w:gridCol w:w="649"/>
        <w:gridCol w:w="649"/>
        <w:gridCol w:w="649"/>
        <w:gridCol w:w="649"/>
        <w:gridCol w:w="649"/>
        <w:gridCol w:w="649"/>
        <w:gridCol w:w="650"/>
        <w:gridCol w:w="651"/>
        <w:gridCol w:w="651"/>
        <w:gridCol w:w="651"/>
        <w:gridCol w:w="651"/>
        <w:gridCol w:w="651"/>
        <w:gridCol w:w="651"/>
        <w:gridCol w:w="65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bdr w:val="none" w:color="auto" w:sz="0" w:space="0"/>
              </w:rPr>
              <w:t>行政复议</w:t>
            </w:r>
          </w:p>
        </w:tc>
        <w:tc>
          <w:tcPr>
            <w:tcW w:w="6498" w:type="dxa"/>
            <w:gridSpan w:val="10"/>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bdr w:val="none" w:color="auto" w:sz="0" w:space="0"/>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bdr w:val="none" w:color="auto" w:sz="0" w:space="0"/>
              </w:rPr>
              <w:t>结果维持</w:t>
            </w:r>
          </w:p>
        </w:tc>
        <w:tc>
          <w:tcPr>
            <w:tcW w:w="649"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bdr w:val="none" w:color="auto" w:sz="0" w:space="0"/>
              </w:rPr>
              <w:t>结果</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纠正</w:t>
            </w:r>
          </w:p>
        </w:tc>
        <w:tc>
          <w:tcPr>
            <w:tcW w:w="649"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bdr w:val="none" w:color="auto" w:sz="0" w:space="0"/>
              </w:rPr>
              <w:t>其他</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结果</w:t>
            </w:r>
          </w:p>
        </w:tc>
        <w:tc>
          <w:tcPr>
            <w:tcW w:w="649"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bdr w:val="none" w:color="auto" w:sz="0" w:space="0"/>
              </w:rPr>
              <w:t>尚未</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审结</w:t>
            </w:r>
          </w:p>
        </w:tc>
        <w:tc>
          <w:tcPr>
            <w:tcW w:w="649"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bdr w:val="none" w:color="auto" w:sz="0" w:space="0"/>
              </w:rPr>
              <w:t>总计</w:t>
            </w:r>
          </w:p>
        </w:tc>
        <w:tc>
          <w:tcPr>
            <w:tcW w:w="3248" w:type="dxa"/>
            <w:gridSpan w:val="5"/>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bdr w:val="none" w:color="auto" w:sz="0" w:space="0"/>
              </w:rPr>
              <w:t>未经复议直接起诉</w:t>
            </w:r>
          </w:p>
        </w:tc>
        <w:tc>
          <w:tcPr>
            <w:tcW w:w="3250" w:type="dxa"/>
            <w:gridSpan w:val="5"/>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bdr w:val="none" w:color="auto" w:sz="0" w:space="0"/>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4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4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4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4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4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bdr w:val="none" w:color="auto" w:sz="0" w:space="0"/>
              </w:rPr>
              <w:t>结果</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维持</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bdr w:val="none" w:color="auto" w:sz="0" w:space="0"/>
              </w:rPr>
              <w:t>结果</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纠正</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bdr w:val="none" w:color="auto" w:sz="0" w:space="0"/>
              </w:rPr>
              <w:t>其他</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结果</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bdr w:val="none" w:color="auto" w:sz="0" w:space="0"/>
              </w:rPr>
              <w:t>尚未</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审结</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总计</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bdr w:val="none" w:color="auto" w:sz="0" w:space="0"/>
              </w:rPr>
              <w:t>结果</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维持</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bdr w:val="none" w:color="auto" w:sz="0" w:space="0"/>
              </w:rPr>
              <w:t>结果</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纠正</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其他</w:t>
            </w:r>
            <w:r>
              <w:rPr>
                <w:rFonts w:hint="eastAsia" w:ascii="宋体" w:hAnsi="宋体" w:eastAsia="宋体" w:cs="宋体"/>
                <w:color w:val="000000"/>
                <w:sz w:val="20"/>
                <w:szCs w:val="20"/>
                <w:bdr w:val="none" w:color="auto" w:sz="0" w:space="0"/>
              </w:rPr>
              <w:br w:type="textWrapping"/>
            </w:r>
            <w:r>
              <w:rPr>
                <w:rFonts w:hint="eastAsia" w:ascii="宋体" w:hAnsi="宋体" w:eastAsia="宋体" w:cs="宋体"/>
                <w:color w:val="000000"/>
                <w:sz w:val="20"/>
                <w:szCs w:val="20"/>
                <w:bdr w:val="none" w:color="auto" w:sz="0" w:space="0"/>
              </w:rPr>
              <w:t>结果</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bdr w:val="none" w:color="auto" w:sz="0" w:space="0"/>
              </w:rPr>
              <w:t>尚未</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审结</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bdr w:val="none" w:color="auto" w:sz="0" w:space="0"/>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 0</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0 </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 0</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 0</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0 </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 0</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 0</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0 </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 0</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 0</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0 </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 0</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 0</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0 </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bdr w:val="none" w:color="auto" w:sz="0" w:space="0"/>
              </w:rPr>
              <w:t> 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五、下一步工作打算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000000"/>
          <w:spacing w:val="0"/>
          <w:sz w:val="32"/>
          <w:szCs w:val="32"/>
          <w:bdr w:val="none" w:color="auto" w:sz="0" w:space="0"/>
          <w:shd w:val="clear" w:fill="FFFFFF"/>
        </w:rPr>
        <w:t>存在问题：一是</w:t>
      </w:r>
      <w:r>
        <w:rPr>
          <w:rFonts w:hint="eastAsia" w:ascii="仿宋" w:hAnsi="仿宋" w:eastAsia="仿宋" w:cs="仿宋"/>
          <w:i w:val="0"/>
          <w:iCs w:val="0"/>
          <w:caps w:val="0"/>
          <w:color w:val="000000"/>
          <w:spacing w:val="0"/>
          <w:sz w:val="32"/>
          <w:szCs w:val="32"/>
          <w:bdr w:val="none" w:color="auto" w:sz="0" w:space="0"/>
          <w:shd w:val="clear" w:fill="FFFFFF"/>
        </w:rPr>
        <w:t>少数工作人员对政府信息公开工作重视程度不够，主动公开责任意识有待进一步增强。</w:t>
      </w:r>
      <w:r>
        <w:rPr>
          <w:rFonts w:hint="eastAsia" w:ascii="仿宋" w:hAnsi="仿宋" w:eastAsia="仿宋" w:cs="仿宋"/>
          <w:b/>
          <w:bCs/>
          <w:i w:val="0"/>
          <w:iCs w:val="0"/>
          <w:caps w:val="0"/>
          <w:color w:val="000000"/>
          <w:spacing w:val="0"/>
          <w:sz w:val="32"/>
          <w:szCs w:val="32"/>
          <w:bdr w:val="none" w:color="auto" w:sz="0" w:space="0"/>
          <w:shd w:val="clear" w:fill="FFFFFF"/>
        </w:rPr>
        <w:t>二是</w:t>
      </w:r>
      <w:r>
        <w:rPr>
          <w:rFonts w:hint="eastAsia" w:ascii="仿宋" w:hAnsi="仿宋" w:eastAsia="仿宋" w:cs="仿宋"/>
          <w:i w:val="0"/>
          <w:iCs w:val="0"/>
          <w:caps w:val="0"/>
          <w:color w:val="000000"/>
          <w:spacing w:val="0"/>
          <w:sz w:val="32"/>
          <w:szCs w:val="32"/>
          <w:bdr w:val="none" w:color="auto" w:sz="0" w:space="0"/>
          <w:shd w:val="clear" w:fill="FFFFFF"/>
        </w:rPr>
        <w:t>信息发布人员业务不熟，部分公开格式不够规范，时间节点把握不准。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000000"/>
          <w:spacing w:val="0"/>
          <w:sz w:val="32"/>
          <w:szCs w:val="32"/>
          <w:bdr w:val="none" w:color="auto" w:sz="0" w:space="0"/>
          <w:shd w:val="clear" w:fill="FFFFFF"/>
        </w:rPr>
        <w:t>一是加强学习培训。</w:t>
      </w:r>
      <w:r>
        <w:rPr>
          <w:rFonts w:hint="eastAsia" w:ascii="仿宋" w:hAnsi="仿宋" w:eastAsia="仿宋" w:cs="仿宋"/>
          <w:i w:val="0"/>
          <w:iCs w:val="0"/>
          <w:caps w:val="0"/>
          <w:color w:val="000000"/>
          <w:spacing w:val="0"/>
          <w:sz w:val="32"/>
          <w:szCs w:val="32"/>
          <w:bdr w:val="none" w:color="auto" w:sz="0" w:space="0"/>
          <w:shd w:val="clear" w:fill="FFFFFF"/>
        </w:rPr>
        <w:t>进一步提高认识，全面准确把握《中华人民共和国政府信息公开条例》的精神实质，加深对政府信息公开工作重要性和必要性的认识。对从事政府信息公开工作的相关人员，强化业务培训，提高信息人员的政策解读能力和信息写作能力，高质量编写政务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333333"/>
          <w:spacing w:val="0"/>
          <w:sz w:val="32"/>
          <w:szCs w:val="32"/>
        </w:rPr>
      </w:pPr>
      <w:r>
        <w:rPr>
          <w:rFonts w:hint="eastAsia" w:ascii="仿宋" w:hAnsi="仿宋" w:eastAsia="仿宋" w:cs="仿宋"/>
          <w:b/>
          <w:bCs/>
          <w:i w:val="0"/>
          <w:iCs w:val="0"/>
          <w:caps w:val="0"/>
          <w:color w:val="000000"/>
          <w:spacing w:val="0"/>
          <w:sz w:val="32"/>
          <w:szCs w:val="32"/>
          <w:bdr w:val="none" w:color="auto" w:sz="0" w:space="0"/>
          <w:shd w:val="clear" w:fill="FFFFFF"/>
        </w:rPr>
        <w:t>二是强化队伍建设。</w:t>
      </w:r>
      <w:r>
        <w:rPr>
          <w:rFonts w:hint="eastAsia" w:ascii="仿宋" w:hAnsi="仿宋" w:eastAsia="仿宋" w:cs="仿宋"/>
          <w:i w:val="0"/>
          <w:iCs w:val="0"/>
          <w:caps w:val="0"/>
          <w:color w:val="000000"/>
          <w:spacing w:val="0"/>
          <w:sz w:val="32"/>
          <w:szCs w:val="32"/>
          <w:bdr w:val="none" w:color="auto" w:sz="0" w:space="0"/>
          <w:shd w:val="clear" w:fill="FFFFFF"/>
        </w:rPr>
        <w:t>以</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2022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年政务公开工作要点》为指引，明确政务公开工作的工作任务、具体要求、责任单位，严格实行领导责任制和目标管理责任制，对全系统政务公开工作进行部署落实，打造一流工作队伍。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000000"/>
          <w:spacing w:val="0"/>
          <w:sz w:val="32"/>
          <w:szCs w:val="32"/>
          <w:bdr w:val="none" w:color="auto" w:sz="0" w:space="0"/>
          <w:shd w:val="clear" w:fill="FFFFFF"/>
        </w:rPr>
        <w:t>三是严格规范流程。</w:t>
      </w:r>
      <w:r>
        <w:rPr>
          <w:rFonts w:hint="eastAsia" w:ascii="仿宋" w:hAnsi="仿宋" w:eastAsia="仿宋" w:cs="仿宋"/>
          <w:i w:val="0"/>
          <w:iCs w:val="0"/>
          <w:caps w:val="0"/>
          <w:color w:val="000000"/>
          <w:spacing w:val="0"/>
          <w:sz w:val="32"/>
          <w:szCs w:val="32"/>
          <w:bdr w:val="none" w:color="auto" w:sz="0" w:space="0"/>
          <w:shd w:val="clear" w:fill="FFFFFF"/>
        </w:rPr>
        <w:t>不断完善健全单位公开目录清单，明确公开类别、时间、内容等信息，做到及时、全面、规范公开。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000000"/>
          <w:spacing w:val="0"/>
          <w:sz w:val="32"/>
          <w:szCs w:val="32"/>
          <w:bdr w:val="none" w:color="auto" w:sz="0" w:space="0"/>
          <w:shd w:val="clear" w:fill="FFFFFF"/>
        </w:rPr>
        <w:t>四是强化监督保障。</w:t>
      </w:r>
      <w:r>
        <w:rPr>
          <w:rFonts w:hint="eastAsia" w:ascii="仿宋" w:hAnsi="仿宋" w:eastAsia="仿宋" w:cs="仿宋"/>
          <w:i w:val="0"/>
          <w:iCs w:val="0"/>
          <w:caps w:val="0"/>
          <w:color w:val="000000"/>
          <w:spacing w:val="0"/>
          <w:sz w:val="32"/>
          <w:szCs w:val="32"/>
          <w:bdr w:val="none" w:color="auto" w:sz="0" w:space="0"/>
          <w:shd w:val="clear" w:fill="FFFFFF"/>
        </w:rPr>
        <w:t>强化对政务公开工作的指导，全面压实岗位责任，经常开展对政务公开工作的检查调度，适时明确任务和目标，尽快补缺补差，同时认真总结典型经验并及时推广，按全县统一要求不断强化对公开工作的监督和考核，确保政务公开工作及时高效，促进全县教育系统政务公开工作再上新台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按照《国务院办公厅关于印发〈政府信息公开信息处理费管理办法〉的通知》（国办函〔</w:t>
      </w:r>
      <w:r>
        <w:rPr>
          <w:rFonts w:hint="default" w:ascii="Times New Roman" w:hAnsi="Times New Roman" w:eastAsia="仿宋" w:cs="Times New Roman"/>
          <w:i w:val="0"/>
          <w:iCs w:val="0"/>
          <w:caps w:val="0"/>
          <w:color w:val="000000"/>
          <w:spacing w:val="0"/>
          <w:sz w:val="32"/>
          <w:szCs w:val="32"/>
          <w:bdr w:val="none" w:color="auto" w:sz="0" w:space="0"/>
          <w:shd w:val="clear" w:fill="FFFFFF"/>
        </w:rPr>
        <w:t>2020</w:t>
      </w:r>
      <w:r>
        <w:rPr>
          <w:rFonts w:hint="eastAsia" w:ascii="仿宋" w:hAnsi="仿宋" w:eastAsia="仿宋" w:cs="仿宋"/>
          <w:i w:val="0"/>
          <w:iCs w:val="0"/>
          <w:caps w:val="0"/>
          <w:color w:val="000000"/>
          <w:spacing w:val="0"/>
          <w:sz w:val="32"/>
          <w:szCs w:val="32"/>
          <w:bdr w:val="none" w:color="auto" w:sz="0" w:space="0"/>
          <w:shd w:val="clear" w:fill="FFFFFF"/>
        </w:rPr>
        <w:t>〕</w:t>
      </w:r>
      <w:r>
        <w:rPr>
          <w:rFonts w:hint="default" w:ascii="Times New Roman" w:hAnsi="Times New Roman" w:eastAsia="仿宋" w:cs="Times New Roman"/>
          <w:i w:val="0"/>
          <w:iCs w:val="0"/>
          <w:caps w:val="0"/>
          <w:color w:val="000000"/>
          <w:spacing w:val="0"/>
          <w:sz w:val="32"/>
          <w:szCs w:val="32"/>
          <w:bdr w:val="none" w:color="auto" w:sz="0" w:space="0"/>
          <w:shd w:val="clear" w:fill="FFFFFF"/>
        </w:rPr>
        <w:t>109</w:t>
      </w:r>
      <w:r>
        <w:rPr>
          <w:rFonts w:hint="eastAsia" w:ascii="仿宋" w:hAnsi="仿宋" w:eastAsia="仿宋" w:cs="仿宋"/>
          <w:i w:val="0"/>
          <w:iCs w:val="0"/>
          <w:caps w:val="0"/>
          <w:color w:val="000000"/>
          <w:spacing w:val="0"/>
          <w:sz w:val="32"/>
          <w:szCs w:val="32"/>
          <w:bdr w:val="none" w:color="auto" w:sz="0" w:space="0"/>
          <w:shd w:val="clear" w:fill="FFFFFF"/>
        </w:rPr>
        <w:t>号）规定的按件、按量收费标准，本年度没有产生信息公开处理费。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320" w:firstLine="640"/>
        <w:jc w:val="righ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320" w:firstLine="640"/>
        <w:jc w:val="righ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320" w:firstLine="640"/>
        <w:jc w:val="righ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金寨县教育局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right"/>
        <w:rPr>
          <w:rFonts w:hint="eastAsia" w:ascii="仿宋" w:hAnsi="仿宋" w:eastAsia="仿宋" w:cs="仿宋"/>
          <w:i w:val="0"/>
          <w:iCs w:val="0"/>
          <w:caps w:val="0"/>
          <w:color w:val="333333"/>
          <w:spacing w:val="0"/>
          <w:sz w:val="32"/>
          <w:szCs w:val="32"/>
        </w:rPr>
      </w:pPr>
      <w:r>
        <w:rPr>
          <w:rFonts w:hint="default" w:ascii="Times New Roman" w:hAnsi="Times New Roman" w:eastAsia="仿宋" w:cs="Times New Roman"/>
          <w:i w:val="0"/>
          <w:iCs w:val="0"/>
          <w:caps w:val="0"/>
          <w:color w:val="000000"/>
          <w:spacing w:val="0"/>
          <w:sz w:val="32"/>
          <w:szCs w:val="32"/>
          <w:bdr w:val="none" w:color="auto" w:sz="0" w:space="0"/>
          <w:shd w:val="clear" w:fill="FFFFFF"/>
        </w:rPr>
        <w:t>2022</w:t>
      </w:r>
      <w:r>
        <w:rPr>
          <w:rFonts w:hint="eastAsia" w:ascii="仿宋" w:hAnsi="仿宋" w:eastAsia="仿宋" w:cs="仿宋"/>
          <w:i w:val="0"/>
          <w:iCs w:val="0"/>
          <w:caps w:val="0"/>
          <w:color w:val="000000"/>
          <w:spacing w:val="0"/>
          <w:sz w:val="32"/>
          <w:szCs w:val="32"/>
          <w:bdr w:val="none" w:color="auto" w:sz="0" w:space="0"/>
          <w:shd w:val="clear" w:fill="FFFFFF"/>
        </w:rPr>
        <w:t>年</w:t>
      </w:r>
      <w:r>
        <w:rPr>
          <w:rFonts w:hint="default" w:ascii="Times New Roman" w:hAnsi="Times New Roman" w:eastAsia="仿宋" w:cs="Times New Roman"/>
          <w:i w:val="0"/>
          <w:iCs w:val="0"/>
          <w:caps w:val="0"/>
          <w:color w:val="000000"/>
          <w:spacing w:val="0"/>
          <w:sz w:val="32"/>
          <w:szCs w:val="32"/>
          <w:bdr w:val="none" w:color="auto" w:sz="0" w:space="0"/>
          <w:shd w:val="clear" w:fill="FFFFFF"/>
        </w:rPr>
        <w:t>1</w:t>
      </w:r>
      <w:r>
        <w:rPr>
          <w:rFonts w:hint="eastAsia" w:ascii="仿宋" w:hAnsi="仿宋" w:eastAsia="仿宋" w:cs="仿宋"/>
          <w:i w:val="0"/>
          <w:iCs w:val="0"/>
          <w:caps w:val="0"/>
          <w:color w:val="000000"/>
          <w:spacing w:val="0"/>
          <w:sz w:val="32"/>
          <w:szCs w:val="32"/>
          <w:bdr w:val="none" w:color="auto" w:sz="0" w:space="0"/>
          <w:shd w:val="clear" w:fill="FFFFFF"/>
        </w:rPr>
        <w:t>月</w:t>
      </w:r>
      <w:r>
        <w:rPr>
          <w:rFonts w:hint="default" w:ascii="Times New Roman" w:hAnsi="Times New Roman" w:eastAsia="仿宋" w:cs="Times New Roman"/>
          <w:i w:val="0"/>
          <w:iCs w:val="0"/>
          <w:caps w:val="0"/>
          <w:color w:val="000000"/>
          <w:spacing w:val="0"/>
          <w:sz w:val="32"/>
          <w:szCs w:val="32"/>
          <w:bdr w:val="none" w:color="auto" w:sz="0" w:space="0"/>
          <w:shd w:val="clear" w:fill="FFFFFF"/>
        </w:rPr>
        <w:t>16</w:t>
      </w:r>
      <w:r>
        <w:rPr>
          <w:rFonts w:hint="eastAsia" w:ascii="仿宋" w:hAnsi="仿宋" w:eastAsia="仿宋" w:cs="仿宋"/>
          <w:i w:val="0"/>
          <w:iCs w:val="0"/>
          <w:caps w:val="0"/>
          <w:color w:val="000000"/>
          <w:spacing w:val="0"/>
          <w:sz w:val="32"/>
          <w:szCs w:val="32"/>
          <w:bdr w:val="none" w:color="auto" w:sz="0" w:space="0"/>
          <w:shd w:val="clear" w:fill="FFFFFF"/>
        </w:rPr>
        <w:t>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hNDFiYWUyNDY0ZDU3YmQwNjhhOWI1YzU2NWY0ZjUifQ=="/>
  </w:docVars>
  <w:rsids>
    <w:rsidRoot w:val="00000000"/>
    <w:rsid w:val="69BF6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2024-07-03T00:16:08Z</dcterms:created>
  <dc:creator>Administrator</dc:creator>
  <cp:lastModifiedBy>哎呦喂</cp:lastModifiedBy>
  <dcterms:modified xsi:type="dcterms:W3CDTF">2024-07-03T00:16:35Z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52A2D6B3BDF34971A7B03DFF177C724D_13</vt:lpwstr>
  </property>
</Properties>
</file>