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auto"/>
          <w:kern w:val="0"/>
          <w:sz w:val="44"/>
          <w:szCs w:val="44"/>
          <w:highlight w:val="none"/>
          <w:u w:val="none" w:color="auto"/>
          <w:shd w:val="clear" w:color="auto" w:fill="auto"/>
        </w:rPr>
      </w:pPr>
      <w:r>
        <w:rPr>
          <w:rFonts w:hint="default" w:ascii="Times New Roman" w:hAnsi="Times New Roman" w:eastAsia="方正小标宋简体" w:cs="Times New Roman"/>
          <w:color w:val="auto"/>
          <w:kern w:val="0"/>
          <w:sz w:val="44"/>
          <w:szCs w:val="44"/>
          <w:highlight w:val="none"/>
          <w:u w:val="none" w:color="auto"/>
          <w:shd w:val="clear" w:color="auto" w:fill="auto"/>
        </w:rPr>
        <w:t>金寨县</w:t>
      </w:r>
      <w:r>
        <w:rPr>
          <w:rFonts w:hint="eastAsia" w:ascii="Times New Roman" w:eastAsia="方正小标宋简体" w:cs="Times New Roman"/>
          <w:color w:val="auto"/>
          <w:kern w:val="0"/>
          <w:sz w:val="44"/>
          <w:szCs w:val="44"/>
          <w:highlight w:val="none"/>
          <w:u w:val="none" w:color="auto"/>
          <w:shd w:val="clear" w:color="auto" w:fill="auto"/>
          <w:lang w:val="en-US" w:eastAsia="zh-CN"/>
        </w:rPr>
        <w:t>麻埠镇</w:t>
      </w:r>
      <w:r>
        <w:rPr>
          <w:rFonts w:hint="default" w:ascii="Times New Roman" w:hAnsi="Times New Roman" w:eastAsia="方正小标宋简体" w:cs="Times New Roman"/>
          <w:color w:val="auto"/>
          <w:kern w:val="0"/>
          <w:sz w:val="44"/>
          <w:szCs w:val="44"/>
          <w:highlight w:val="none"/>
          <w:u w:val="none" w:color="auto"/>
          <w:shd w:val="clear" w:color="auto" w:fill="auto"/>
        </w:rPr>
        <w:t>20</w:t>
      </w:r>
      <w:r>
        <w:rPr>
          <w:rFonts w:hint="eastAsia" w:ascii="Times New Roman" w:eastAsia="方正小标宋简体" w:cs="Times New Roman"/>
          <w:color w:val="auto"/>
          <w:kern w:val="0"/>
          <w:sz w:val="44"/>
          <w:szCs w:val="44"/>
          <w:highlight w:val="none"/>
          <w:u w:val="none" w:color="auto"/>
          <w:shd w:val="clear" w:color="auto" w:fill="auto"/>
          <w:lang w:val="en-US" w:eastAsia="zh-CN"/>
        </w:rPr>
        <w:t>19</w:t>
      </w:r>
      <w:r>
        <w:rPr>
          <w:rFonts w:hint="default" w:ascii="Times New Roman" w:hAnsi="Times New Roman" w:eastAsia="方正小标宋简体" w:cs="Times New Roman"/>
          <w:color w:val="auto"/>
          <w:kern w:val="0"/>
          <w:sz w:val="44"/>
          <w:szCs w:val="44"/>
          <w:highlight w:val="none"/>
          <w:u w:val="none" w:color="auto"/>
          <w:shd w:val="clear" w:color="auto" w:fill="auto"/>
        </w:rPr>
        <w:t>年政府信息</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color w:val="auto"/>
          <w:kern w:val="0"/>
          <w:sz w:val="24"/>
          <w:highlight w:val="none"/>
          <w:u w:val="none" w:color="auto"/>
          <w:shd w:val="clear" w:color="auto" w:fill="auto"/>
        </w:rPr>
      </w:pPr>
      <w:r>
        <w:rPr>
          <w:rFonts w:hint="default" w:ascii="Times New Roman" w:hAnsi="Times New Roman" w:eastAsia="方正小标宋简体" w:cs="Times New Roman"/>
          <w:color w:val="auto"/>
          <w:kern w:val="0"/>
          <w:sz w:val="44"/>
          <w:szCs w:val="44"/>
          <w:highlight w:val="none"/>
          <w:u w:val="none" w:color="auto"/>
          <w:shd w:val="clear" w:color="auto" w:fill="auto"/>
        </w:rPr>
        <w:t>公开工作年度报告</w:t>
      </w:r>
    </w:p>
    <w:p>
      <w:pPr>
        <w:widowControl/>
        <w:shd w:val="clear" w:color="auto" w:fill="FFFFFF"/>
        <w:ind w:firstLine="480"/>
        <w:rPr>
          <w:rFonts w:hint="eastAsia" w:ascii="Times New Roman" w:hAnsi="Times New Roman" w:eastAsia="黑体" w:cs="黑体"/>
          <w:b/>
          <w:color w:val="auto"/>
          <w:kern w:val="0"/>
          <w:sz w:val="32"/>
          <w:szCs w:val="32"/>
          <w:highlight w:val="none"/>
          <w:u w:val="none" w:color="auto"/>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shd w:val="clear" w:fill="FFFFFF"/>
        </w:rPr>
        <w:t>本报告依据《中华人民共和国政府信息公开条例》（国务院令第711号，以下简称新《条例》）《国务院办公厅政府信息与政务公开办公室关于政府信息公开工作年度报告有关事项的通知》（国办公开办函〔2019〕60号）和《安徽省政务公开办公室关于做好2019年度政府信息公开工作年度报告及统计数据报送有关工作的通知》（皖政务办秘〔2019〕43号）要求编制而成。报告主要包括：总体情况、主动公开</w:t>
      </w:r>
      <w:bookmarkStart w:id="0" w:name="_GoBack"/>
      <w:bookmarkEnd w:id="0"/>
      <w:r>
        <w:rPr>
          <w:rFonts w:hint="eastAsia" w:ascii="Times New Roman" w:hAnsi="Times New Roman" w:eastAsia="仿宋_GB2312" w:cs="仿宋_GB2312"/>
          <w:i w:val="0"/>
          <w:iCs w:val="0"/>
          <w:caps w:val="0"/>
          <w:color w:val="333333"/>
          <w:spacing w:val="0"/>
          <w:sz w:val="32"/>
          <w:szCs w:val="32"/>
          <w:bdr w:val="none" w:color="auto" w:sz="0" w:space="0"/>
          <w:shd w:val="clear" w:fill="FFFFFF"/>
        </w:rPr>
        <w:t>政府信息情况、收到和处理政府信息公开申请情况、因政府信息公开被申请行政复议和提起行政诉讼情况、政府信息公开工作存在主要问题及改进情况和其他需要报告事项。本报告中使用数据统计期限为2019年1月1日至12月31日，报告的电子版可金寨县信息公开网（http://www.ahjinzhai.gov.cn/public/index.html）下载。如对本报告有任何疑问，请与麻埠镇人民政府党政办联系（地址：金寨县麻埠镇人民政府，电话：0564--7305001，邮编：237321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shd w:val="clear" w:fill="FFFFFF"/>
        </w:rPr>
        <w:t>2019年，我镇认真落实市、县关于推进政务工作有关部署，依据《六安市人民政府办公室关于印发2019年度全市政务公开目标任务责任清单的通知》，组织开展全镇政务公开工作，认真抓好上级反馈问题整改，加强政务公开基础建设，强化工作责任落实，加大政务公开工作保障，确保公开工作效果，全面推动麻埠镇政务公开工作上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shd w:val="clear" w:fill="FFFFFF"/>
        </w:rPr>
        <w:t>（一）主动公开。全年在麻埠镇政务公开网上主动公开信息895条，县政府网上舆情信息回复18条。及时回复、解答全镇重点工程、民生、环境卫生等重点领域群众关心和关注的热点问题。针对县政府网站平台升级，及时对所有新建或调整栏目内容进行了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shd w:val="clear" w:fill="FFFFFF"/>
        </w:rPr>
        <w:t>（二）依申请公开。镇政务公开办公室目前没有接到公众、法人或其他组织要求公开政府信息的申请。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shd w:val="clear" w:fill="FFFFFF"/>
        </w:rPr>
        <w:t>（三）政府信息管理。认真抓好政务公开统筹工作。一是加强领导，健全机构。成立了以镇长为组长，镇党委委员为副组长，相关站所办负责人为成员的政务公开工作领导小组，领导组下设办公室，由一名业务精湛的工作人员负责具体业务，目前全镇政务公开工作机构已经健全。二是责任明确，狠抓落实。制定了2019年度工作安排，明确了职责，对全年政务公开工作有部署、有安排，对镇直各部门、单位、站所政务公开有关工作做出了具体要求。加强工作推进，积极组织业务人员赴市、县参加政务公开业务培训，提高对政务公开工作认识，增强工作人员业务能力，提升政务公开信息员队伍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shd w:val="clear" w:fill="FFFFFF"/>
        </w:rPr>
        <w:t>（四）平台建设。强化政务公开载体体系建设。在县政府办的指导下，进一步完善了我镇政务公开栏、村务公开栏的建设，在为民服务中心、村为民服务工作站设立了政府信息公开查阅点。积极配合政府信息公开目录调整，重点对财政专项资金、政策解读等栏目进行调整规范，并根据政府信息公开目录调整，及时做好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shd w:val="clear" w:fill="FFFFFF"/>
        </w:rPr>
        <w:t>（五）监督保障。我镇成立了政务公开领导小组，明确了工作职责，细化了工作任务。将政务公开工作归为重点工作，建立“一周一更新、一月一自查、一季一整改”长效工作机制。加强信息隐私泄露排查，对所有公开信息，依据县政府网站后台权限分配要求，进行依序审核公开。将政务公开工作纳入政府目标管理责任制考评内容，分值占部门总分的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二、主动公开政府信息情况</w:t>
      </w:r>
    </w:p>
    <w:tbl>
      <w:tblPr>
        <w:tblW w:w="0" w:type="auto"/>
        <w:tblInd w:w="0" w:type="dxa"/>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105"/>
        <w:gridCol w:w="88"/>
        <w:gridCol w:w="1787"/>
        <w:gridCol w:w="1260"/>
        <w:gridCol w:w="1890"/>
      </w:tblGrid>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8130" w:type="dxa"/>
            <w:gridSpan w:val="5"/>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第二十条第（一）项</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310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信息内容</w:t>
            </w:r>
          </w:p>
        </w:tc>
        <w:tc>
          <w:tcPr>
            <w:tcW w:w="1875"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本年新制作数量</w:t>
            </w:r>
          </w:p>
        </w:tc>
        <w:tc>
          <w:tcPr>
            <w:tcW w:w="126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本年新公开数量</w:t>
            </w:r>
          </w:p>
        </w:tc>
        <w:tc>
          <w:tcPr>
            <w:tcW w:w="189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对外公开总数量</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310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规章</w:t>
            </w:r>
          </w:p>
        </w:tc>
        <w:tc>
          <w:tcPr>
            <w:tcW w:w="1875"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126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189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310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规范性文件</w:t>
            </w:r>
          </w:p>
        </w:tc>
        <w:tc>
          <w:tcPr>
            <w:tcW w:w="1875"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126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189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keepNext w:val="0"/>
              <w:keepLines w:val="0"/>
              <w:widowControl/>
              <w:suppressLineNumbers w:val="0"/>
              <w:wordWrap w:val="0"/>
              <w:spacing w:before="0" w:beforeAutospacing="0" w:after="0" w:afterAutospacing="0"/>
              <w:ind w:left="0" w:right="0"/>
              <w:jc w:val="both"/>
              <w:rPr>
                <w:rFonts w:hint="eastAsia" w:ascii="Times New Roman" w:hAnsi="Times New Roman" w:eastAsia="仿宋_GB2312" w:cs="仿宋_GB2312"/>
                <w:i w:val="0"/>
                <w:iCs w:val="0"/>
                <w:caps w:val="0"/>
                <w:color w:val="333333"/>
                <w:spacing w:val="0"/>
                <w:sz w:val="28"/>
                <w:szCs w:val="28"/>
              </w:rPr>
            </w:pPr>
            <w:r>
              <w:rPr>
                <w:rFonts w:hint="eastAsia" w:ascii="Times New Roman" w:hAnsi="Times New Roman" w:eastAsia="仿宋_GB2312" w:cs="仿宋_GB2312"/>
                <w:i w:val="0"/>
                <w:iCs w:val="0"/>
                <w:caps w:val="0"/>
                <w:color w:val="333333"/>
                <w:spacing w:val="0"/>
                <w:kern w:val="0"/>
                <w:sz w:val="28"/>
                <w:szCs w:val="28"/>
                <w:bdr w:val="none" w:color="auto" w:sz="0" w:space="0"/>
                <w:lang w:val="en-US" w:eastAsia="zh-CN" w:bidi="ar"/>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8130" w:type="dxa"/>
            <w:gridSpan w:val="5"/>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第二十条第（五）项</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319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信息内容</w:t>
            </w:r>
          </w:p>
        </w:tc>
        <w:tc>
          <w:tcPr>
            <w:tcW w:w="1787"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上一年项目数量</w:t>
            </w:r>
          </w:p>
        </w:tc>
        <w:tc>
          <w:tcPr>
            <w:tcW w:w="126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本年增/减</w:t>
            </w:r>
          </w:p>
        </w:tc>
        <w:tc>
          <w:tcPr>
            <w:tcW w:w="189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处理决定数量</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319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行政许可</w:t>
            </w:r>
          </w:p>
        </w:tc>
        <w:tc>
          <w:tcPr>
            <w:tcW w:w="1787"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i w:val="0"/>
                <w:iCs w:val="0"/>
                <w:caps w:val="0"/>
                <w:color w:val="333333"/>
                <w:spacing w:val="0"/>
                <w:sz w:val="28"/>
                <w:szCs w:val="28"/>
                <w:bdr w:val="none" w:color="auto" w:sz="0" w:space="0"/>
                <w:lang w:val="en-US" w:eastAsia="zh-CN"/>
              </w:rPr>
              <w:t>0</w:t>
            </w:r>
          </w:p>
        </w:tc>
        <w:tc>
          <w:tcPr>
            <w:tcW w:w="126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189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319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其他对外管理服务事项</w:t>
            </w:r>
          </w:p>
        </w:tc>
        <w:tc>
          <w:tcPr>
            <w:tcW w:w="1787"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i w:val="0"/>
                <w:iCs w:val="0"/>
                <w:caps w:val="0"/>
                <w:color w:val="333333"/>
                <w:spacing w:val="0"/>
                <w:sz w:val="28"/>
                <w:szCs w:val="28"/>
                <w:bdr w:val="none" w:color="auto" w:sz="0" w:space="0"/>
                <w:lang w:val="en-US" w:eastAsia="zh-CN"/>
              </w:rPr>
              <w:t>0</w:t>
            </w:r>
          </w:p>
        </w:tc>
        <w:tc>
          <w:tcPr>
            <w:tcW w:w="126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189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i w:val="0"/>
                <w:iCs w:val="0"/>
                <w:caps w:val="0"/>
                <w:color w:val="333333"/>
                <w:spacing w:val="0"/>
                <w:sz w:val="28"/>
                <w:szCs w:val="28"/>
                <w:bdr w:val="none" w:color="auto" w:sz="0" w:space="0"/>
                <w:lang w:val="en-US" w:eastAsia="zh-CN"/>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8130" w:type="dxa"/>
            <w:gridSpan w:val="5"/>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第二十条第（六）项</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319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信息内容</w:t>
            </w:r>
          </w:p>
        </w:tc>
        <w:tc>
          <w:tcPr>
            <w:tcW w:w="1787"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上一年项目数量</w:t>
            </w:r>
          </w:p>
        </w:tc>
        <w:tc>
          <w:tcPr>
            <w:tcW w:w="126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本年增/减</w:t>
            </w:r>
          </w:p>
        </w:tc>
        <w:tc>
          <w:tcPr>
            <w:tcW w:w="189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处理决定数量</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319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行政处罚</w:t>
            </w:r>
          </w:p>
        </w:tc>
        <w:tc>
          <w:tcPr>
            <w:tcW w:w="1787"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rPr>
              <w:t>0</w:t>
            </w:r>
          </w:p>
        </w:tc>
        <w:tc>
          <w:tcPr>
            <w:tcW w:w="126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189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319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行政强制</w:t>
            </w:r>
          </w:p>
        </w:tc>
        <w:tc>
          <w:tcPr>
            <w:tcW w:w="1787"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i w:val="0"/>
                <w:iCs w:val="0"/>
                <w:caps w:val="0"/>
                <w:color w:val="333333"/>
                <w:spacing w:val="0"/>
                <w:sz w:val="28"/>
                <w:szCs w:val="28"/>
              </w:rPr>
              <w:t>0</w:t>
            </w:r>
          </w:p>
        </w:tc>
        <w:tc>
          <w:tcPr>
            <w:tcW w:w="126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189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8130" w:type="dxa"/>
            <w:gridSpan w:val="5"/>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第二十条第（八）项</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319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信息内容</w:t>
            </w:r>
          </w:p>
        </w:tc>
        <w:tc>
          <w:tcPr>
            <w:tcW w:w="1787"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上一年项目数量</w:t>
            </w:r>
          </w:p>
        </w:tc>
        <w:tc>
          <w:tcPr>
            <w:tcW w:w="3150"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本年增/减</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319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行政事业性收费</w:t>
            </w:r>
          </w:p>
        </w:tc>
        <w:tc>
          <w:tcPr>
            <w:tcW w:w="1787"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rPr>
              <w:t>0</w:t>
            </w:r>
          </w:p>
        </w:tc>
        <w:tc>
          <w:tcPr>
            <w:tcW w:w="3150"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8130" w:type="dxa"/>
            <w:gridSpan w:val="5"/>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第二十条第（九）项</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319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信息内容</w:t>
            </w:r>
          </w:p>
        </w:tc>
        <w:tc>
          <w:tcPr>
            <w:tcW w:w="1787"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采购项目数量</w:t>
            </w:r>
          </w:p>
        </w:tc>
        <w:tc>
          <w:tcPr>
            <w:tcW w:w="3150"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采购总金额</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319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政府集中采购</w:t>
            </w:r>
          </w:p>
        </w:tc>
        <w:tc>
          <w:tcPr>
            <w:tcW w:w="1787"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3150"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三、收到和处理政府信息公开申请情况</w:t>
      </w:r>
    </w:p>
    <w:tbl>
      <w:tblPr>
        <w:tblW w:w="0" w:type="auto"/>
        <w:tblInd w:w="0" w:type="dxa"/>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10"/>
        <w:gridCol w:w="870"/>
        <w:gridCol w:w="1833"/>
        <w:gridCol w:w="734"/>
        <w:gridCol w:w="683"/>
        <w:gridCol w:w="683"/>
        <w:gridCol w:w="734"/>
        <w:gridCol w:w="874"/>
        <w:gridCol w:w="670"/>
        <w:gridCol w:w="645"/>
      </w:tblGrid>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3313" w:type="dxa"/>
            <w:gridSpan w:val="3"/>
            <w:vMerge w:val="restart"/>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（本列数据的勾稽关系为：第一项加第二项之和，等于第三项加第四项之和）</w:t>
            </w:r>
          </w:p>
        </w:tc>
        <w:tc>
          <w:tcPr>
            <w:tcW w:w="5023" w:type="dxa"/>
            <w:gridSpan w:val="7"/>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申请人情况</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3313" w:type="dxa"/>
            <w:gridSpan w:val="3"/>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734" w:type="dxa"/>
            <w:vMerge w:val="restart"/>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i w:val="0"/>
                <w:iCs w:val="0"/>
                <w:caps w:val="0"/>
                <w:color w:val="333333"/>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自然人</w:t>
            </w:r>
          </w:p>
        </w:tc>
        <w:tc>
          <w:tcPr>
            <w:tcW w:w="3644" w:type="dxa"/>
            <w:gridSpan w:val="5"/>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法人或其他组织</w:t>
            </w:r>
          </w:p>
        </w:tc>
        <w:tc>
          <w:tcPr>
            <w:tcW w:w="645" w:type="dxa"/>
            <w:vMerge w:val="restart"/>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总计</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3313" w:type="dxa"/>
            <w:gridSpan w:val="3"/>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734"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商业企业</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科研机构</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社会公益组织</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法律服务机构</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b/>
                <w:bCs/>
                <w:i w:val="0"/>
                <w:iCs w:val="0"/>
                <w:caps w:val="0"/>
                <w:color w:val="333333"/>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其他</w:t>
            </w:r>
          </w:p>
        </w:tc>
        <w:tc>
          <w:tcPr>
            <w:tcW w:w="645"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3313" w:type="dxa"/>
            <w:gridSpan w:val="3"/>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一、本年新收政府信息公开申请数量</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3313" w:type="dxa"/>
            <w:gridSpan w:val="3"/>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二、上年结转政府信息公开申请数量</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610" w:type="dxa"/>
            <w:vMerge w:val="restart"/>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b/>
                <w:bCs/>
                <w:i w:val="0"/>
                <w:iCs w:val="0"/>
                <w:caps w:val="0"/>
                <w:color w:val="333333"/>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b/>
                <w:bCs/>
                <w:i w:val="0"/>
                <w:iCs w:val="0"/>
                <w:caps w:val="0"/>
                <w:color w:val="333333"/>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b/>
                <w:bCs/>
                <w:i w:val="0"/>
                <w:iCs w:val="0"/>
                <w:caps w:val="0"/>
                <w:color w:val="333333"/>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三、本年度办理结果</w:t>
            </w:r>
          </w:p>
        </w:tc>
        <w:tc>
          <w:tcPr>
            <w:tcW w:w="270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（一）予以公开</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270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（二）部分公开（区分处理的， 只计这一情形，不计其他情形）</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restart"/>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b/>
                <w:bCs/>
                <w:i w:val="0"/>
                <w:iCs w:val="0"/>
                <w:caps w:val="0"/>
                <w:color w:val="333333"/>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（三） 不予公开</w:t>
            </w: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1.属于国家秘密</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2.其他法律行政法规禁止公开</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i w:val="0"/>
                <w:iCs w:val="0"/>
                <w:caps w:val="0"/>
                <w:color w:val="333333"/>
                <w:spacing w:val="0"/>
                <w:sz w:val="28"/>
                <w:szCs w:val="28"/>
                <w:bdr w:val="none" w:color="auto" w:sz="0" w:space="0"/>
              </w:rPr>
              <w:t>3.危及“三安全一稳</w:t>
            </w:r>
            <w:r>
              <w:rPr>
                <w:rFonts w:hint="eastAsia" w:ascii="Times New Roman" w:cs="仿宋_GB2312"/>
                <w:i w:val="0"/>
                <w:iCs w:val="0"/>
                <w:caps w:val="0"/>
                <w:color w:val="333333"/>
                <w:spacing w:val="0"/>
                <w:sz w:val="28"/>
                <w:szCs w:val="28"/>
                <w:bdr w:val="none" w:color="auto" w:sz="0" w:space="0"/>
                <w:lang w:val="en-US" w:eastAsia="zh-CN"/>
              </w:rPr>
              <w:t>定“”</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4.保护第三方合法权益</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5.属于三类内部事务信息</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6.属于四类过程性信息</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7.属于行政执法案卷</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8.属于行政查询事项</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restart"/>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b/>
                <w:bCs/>
                <w:i w:val="0"/>
                <w:iCs w:val="0"/>
                <w:caps w:val="0"/>
                <w:color w:val="333333"/>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b/>
                <w:bCs/>
                <w:i w:val="0"/>
                <w:iCs w:val="0"/>
                <w:caps w:val="0"/>
                <w:color w:val="333333"/>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（四） 无法提供</w:t>
            </w: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1.本机关不掌握相关政府信息</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2.没有现成信息需要另行制作</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3.补正后申请内容仍不明确</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restart"/>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b/>
                <w:bCs/>
                <w:i w:val="0"/>
                <w:iCs w:val="0"/>
                <w:caps w:val="0"/>
                <w:color w:val="333333"/>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b/>
                <w:bCs/>
                <w:i w:val="0"/>
                <w:iCs w:val="0"/>
                <w:caps w:val="0"/>
                <w:color w:val="333333"/>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b/>
                <w:bCs/>
                <w:i w:val="0"/>
                <w:iCs w:val="0"/>
                <w:caps w:val="0"/>
                <w:color w:val="333333"/>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b/>
                <w:bCs/>
                <w:i w:val="0"/>
                <w:iCs w:val="0"/>
                <w:caps w:val="0"/>
                <w:color w:val="333333"/>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b/>
                <w:bCs/>
                <w:i w:val="0"/>
                <w:iCs w:val="0"/>
                <w:caps w:val="0"/>
                <w:color w:val="333333"/>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b/>
                <w:bCs/>
                <w:i w:val="0"/>
                <w:iCs w:val="0"/>
                <w:caps w:val="0"/>
                <w:color w:val="333333"/>
                <w:spacing w:val="0"/>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（五） 不予处理</w:t>
            </w: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1.信访举报投诉类申请</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2.重复申请</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3.要求提供公开出版物</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4.无正当理由大量反复申请</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87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183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5.要求行政机关确认或重新出具已获取信息</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270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（六）其他处理</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shd w:val="clear" w:color="auto" w:fill="FFFFFF"/>
          <w:tblCellMar>
            <w:top w:w="0" w:type="dxa"/>
            <w:left w:w="0" w:type="dxa"/>
            <w:bottom w:w="0" w:type="dxa"/>
            <w:right w:w="0" w:type="dxa"/>
          </w:tblCellMar>
        </w:tblPrEx>
        <w:tc>
          <w:tcPr>
            <w:tcW w:w="610" w:type="dxa"/>
            <w:vMerge w:val="continue"/>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28"/>
                <w:szCs w:val="28"/>
              </w:rPr>
            </w:pPr>
          </w:p>
        </w:tc>
        <w:tc>
          <w:tcPr>
            <w:tcW w:w="2703" w:type="dxa"/>
            <w:gridSpan w:val="2"/>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（七）总计</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r>
        <w:tblPrEx>
          <w:tblBorders>
            <w:top w:val="outset" w:color="auto" w:sz="8" w:space="0"/>
            <w:left w:val="outset" w:color="auto" w:sz="8" w:space="0"/>
            <w:bottom w:val="outset" w:color="auto" w:sz="8" w:space="0"/>
            <w:right w:val="outset" w:color="auto" w:sz="8" w:space="0"/>
            <w:insideH w:val="outset" w:color="auto" w:sz="6" w:space="0"/>
            <w:insideV w:val="outset" w:color="auto" w:sz="6" w:space="0"/>
          </w:tblBorders>
          <w:tblCellMar>
            <w:top w:w="0" w:type="dxa"/>
            <w:left w:w="0" w:type="dxa"/>
            <w:bottom w:w="0" w:type="dxa"/>
            <w:right w:w="0" w:type="dxa"/>
          </w:tblCellMar>
        </w:tblPrEx>
        <w:tc>
          <w:tcPr>
            <w:tcW w:w="3313" w:type="dxa"/>
            <w:gridSpan w:val="3"/>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四、结转下年度继续办理</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83"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73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874"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70"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c>
          <w:tcPr>
            <w:tcW w:w="645" w:type="dxa"/>
            <w:tcBorders>
              <w:top w:val="outset" w:color="auto" w:sz="8" w:space="0"/>
              <w:left w:val="outset" w:color="auto" w:sz="8" w:space="0"/>
              <w:bottom w:val="outset" w:color="auto" w:sz="8" w:space="0"/>
              <w:right w:val="outset" w:color="auto"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28"/>
                <w:szCs w:val="28"/>
              </w:rPr>
            </w:pPr>
            <w:r>
              <w:rPr>
                <w:rFonts w:hint="eastAsia" w:ascii="Times New Roman" w:hAnsi="Times New Roman" w:eastAsia="仿宋_GB2312" w:cs="仿宋_GB2312"/>
                <w:i w:val="0"/>
                <w:iCs w:val="0"/>
                <w:caps w:val="0"/>
                <w:color w:val="333333"/>
                <w:spacing w:val="0"/>
                <w:sz w:val="28"/>
                <w:szCs w:val="28"/>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b/>
          <w:bCs/>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四、政府信息公开行政复议、行政诉讼情况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b/>
          <w:bCs/>
          <w:i w:val="0"/>
          <w:iCs w:val="0"/>
          <w:caps w:val="0"/>
          <w:color w:val="333333"/>
          <w:spacing w:val="0"/>
          <w:sz w:val="32"/>
          <w:szCs w:val="32"/>
          <w:bdr w:val="none" w:color="auto" w:sz="0" w:space="0"/>
          <w:shd w:val="clear" w:fill="FFFFFF"/>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3"/>
        <w:gridCol w:w="553"/>
        <w:gridCol w:w="553"/>
        <w:gridCol w:w="553"/>
        <w:gridCol w:w="602"/>
        <w:gridCol w:w="505"/>
        <w:gridCol w:w="553"/>
        <w:gridCol w:w="553"/>
        <w:gridCol w:w="553"/>
        <w:gridCol w:w="578"/>
        <w:gridCol w:w="553"/>
        <w:gridCol w:w="553"/>
        <w:gridCol w:w="554"/>
        <w:gridCol w:w="554"/>
        <w:gridCol w:w="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60"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行政复议</w:t>
            </w:r>
          </w:p>
        </w:tc>
        <w:tc>
          <w:tcPr>
            <w:tcW w:w="5985" w:type="dxa"/>
            <w:gridSpan w:val="10"/>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0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i w:val="0"/>
                <w:iCs w:val="0"/>
                <w:caps w:val="0"/>
                <w:color w:val="333333"/>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结果维持</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i w:val="0"/>
                <w:iCs w:val="0"/>
                <w:caps w:val="0"/>
                <w:color w:val="333333"/>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结果纠正</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i w:val="0"/>
                <w:iCs w:val="0"/>
                <w:caps w:val="0"/>
                <w:color w:val="333333"/>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其他结果</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i w:val="0"/>
                <w:iCs w:val="0"/>
                <w:caps w:val="0"/>
                <w:color w:val="333333"/>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尚未审结</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i w:val="0"/>
                <w:iCs w:val="0"/>
                <w:caps w:val="0"/>
                <w:color w:val="333333"/>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i w:val="0"/>
                <w:iCs w:val="0"/>
                <w:caps w:val="0"/>
                <w:color w:val="333333"/>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i w:val="0"/>
                <w:iCs w:val="0"/>
                <w:caps w:val="0"/>
                <w:color w:val="333333"/>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总计</w:t>
            </w:r>
          </w:p>
        </w:tc>
        <w:tc>
          <w:tcPr>
            <w:tcW w:w="2970"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未经复议直接起诉</w:t>
            </w:r>
          </w:p>
        </w:tc>
        <w:tc>
          <w:tcPr>
            <w:tcW w:w="3015"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0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32"/>
                <w:szCs w:val="32"/>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32"/>
                <w:szCs w:val="32"/>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32"/>
                <w:szCs w:val="32"/>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32"/>
                <w:szCs w:val="32"/>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jc w:val="both"/>
              <w:rPr>
                <w:rFonts w:hint="eastAsia" w:ascii="Times New Roman" w:hAnsi="Times New Roman" w:eastAsia="仿宋_GB2312" w:cs="仿宋_GB2312"/>
                <w:i w:val="0"/>
                <w:iCs w:val="0"/>
                <w:caps w:val="0"/>
                <w:color w:val="333333"/>
                <w:spacing w:val="0"/>
                <w:sz w:val="32"/>
                <w:szCs w:val="32"/>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结果维持</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结果纠正</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其他结果</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尚未审结</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i w:val="0"/>
                <w:iCs w:val="0"/>
                <w:caps w:val="0"/>
                <w:color w:val="333333"/>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总计</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结果维持</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结果纠正</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其他结果</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尚未审结</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b/>
                <w:bCs/>
                <w:i w:val="0"/>
                <w:iCs w:val="0"/>
                <w:caps w:val="0"/>
                <w:color w:val="333333"/>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64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5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b/>
          <w:bCs/>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both"/>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000000"/>
          <w:spacing w:val="0"/>
          <w:sz w:val="32"/>
          <w:szCs w:val="32"/>
          <w:bdr w:val="none" w:color="auto" w:sz="0" w:space="0"/>
          <w:shd w:val="clear" w:fill="FFFFFF"/>
        </w:rPr>
        <w:t>（一）存在主要问题：2019年我镇在信息公开工作上按照要求做到“公开、透明”，但是仍存在一些问题。主要表现在：一、政府信息公开制度有待进一步完善；二、主动公开信息内容有待进一步丰富。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both"/>
        <w:rPr>
          <w:rFonts w:hint="eastAsia" w:ascii="Times New Roman" w:hAnsi="Times New Roman"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000000"/>
          <w:spacing w:val="0"/>
          <w:sz w:val="32"/>
          <w:szCs w:val="32"/>
          <w:bdr w:val="none" w:color="auto" w:sz="0" w:space="0"/>
          <w:shd w:val="clear" w:fill="FFFFFF"/>
        </w:rPr>
        <w:t>（二）改进情况：针对政府信息公开存在的问题，我们将在下一阶段进一步完善信息公开制度，强化运维人员业务能力培训，进一步加强对政务村务公开工作的指导和监督，健全责任追究制度、反馈制度，确保把镇村政府信息公开工作落到实处，力争2020年我镇信息公开这项工作迈向更坚实的步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lang w:val="en-US" w:eastAsia="zh-CN"/>
        </w:rPr>
        <w:t>六、</w:t>
      </w:r>
      <w:r>
        <w:rPr>
          <w:rFonts w:hint="eastAsia" w:ascii="黑体" w:hAnsi="黑体" w:eastAsia="黑体" w:cs="黑体"/>
          <w:b w:val="0"/>
          <w:bCs w:val="0"/>
          <w:i w:val="0"/>
          <w:iCs w:val="0"/>
          <w:caps w:val="0"/>
          <w:color w:val="333333"/>
          <w:spacing w:val="0"/>
          <w:sz w:val="32"/>
          <w:szCs w:val="32"/>
          <w:bdr w:val="none" w:color="auto" w:sz="0" w:space="0"/>
          <w:shd w:val="clear" w:fill="FFFFFF"/>
        </w:rPr>
        <w:t>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Times New Roman" w:hAnsi="Times New Roman" w:eastAsia="微软雅黑" w:cs="微软雅黑"/>
          <w:i w:val="0"/>
          <w:iCs w:val="0"/>
          <w:caps w:val="0"/>
          <w:color w:val="333333"/>
          <w:spacing w:val="0"/>
          <w:sz w:val="21"/>
          <w:szCs w:val="21"/>
        </w:rPr>
      </w:pPr>
      <w:r>
        <w:rPr>
          <w:rFonts w:hint="eastAsia" w:ascii="Times New Roman" w:hAnsi="Times New Roman" w:eastAsia="仿宋_GB2312" w:cs="仿宋_GB2312"/>
          <w:i w:val="0"/>
          <w:iCs w:val="0"/>
          <w:caps w:val="0"/>
          <w:color w:val="333333"/>
          <w:spacing w:val="0"/>
          <w:sz w:val="32"/>
          <w:szCs w:val="32"/>
          <w:bdr w:val="none" w:color="auto" w:sz="0" w:space="0"/>
          <w:shd w:val="clear" w:fill="FFFFFF"/>
        </w:rPr>
        <w:t>2019年麻埠镇无其他需要报告的事项。</w:t>
      </w:r>
    </w:p>
    <w:p>
      <w:pPr>
        <w:keepNext w:val="0"/>
        <w:keepLines w:val="0"/>
        <w:pageBreakBefore w:val="0"/>
        <w:kinsoku/>
        <w:wordWrap/>
        <w:overflowPunct/>
        <w:topLinePunct w:val="0"/>
        <w:autoSpaceDE/>
        <w:autoSpaceDN/>
        <w:bidi w:val="0"/>
        <w:adjustRightInd/>
        <w:spacing w:line="590" w:lineRule="exact"/>
        <w:textAlignment w:val="auto"/>
        <w:rPr>
          <w:rFonts w:ascii="Times New Roman" w:hAnsi="Times New Roman"/>
          <w:u w:val="none" w:color="auto"/>
          <w:shd w:val="clear" w:fil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MTY4YmE1N2MzNmEyNGJjMjU2NjZiYWI3Nzc2NDUifQ=="/>
  </w:docVars>
  <w:rsids>
    <w:rsidRoot w:val="00000000"/>
    <w:rsid w:val="006E51C3"/>
    <w:rsid w:val="01117B65"/>
    <w:rsid w:val="021E1686"/>
    <w:rsid w:val="08F04EB8"/>
    <w:rsid w:val="0CD96FE5"/>
    <w:rsid w:val="0E405FEE"/>
    <w:rsid w:val="11870FA9"/>
    <w:rsid w:val="132867FC"/>
    <w:rsid w:val="14C3401F"/>
    <w:rsid w:val="14DB16C5"/>
    <w:rsid w:val="17D11723"/>
    <w:rsid w:val="191C263F"/>
    <w:rsid w:val="19203694"/>
    <w:rsid w:val="1E9E304B"/>
    <w:rsid w:val="20AC4EC5"/>
    <w:rsid w:val="20B501B7"/>
    <w:rsid w:val="22F108A9"/>
    <w:rsid w:val="24AC2947"/>
    <w:rsid w:val="24B96DD0"/>
    <w:rsid w:val="25346A17"/>
    <w:rsid w:val="26536E6E"/>
    <w:rsid w:val="29F62B37"/>
    <w:rsid w:val="2B790165"/>
    <w:rsid w:val="2CA952D4"/>
    <w:rsid w:val="2D9C5B61"/>
    <w:rsid w:val="2DCB66B1"/>
    <w:rsid w:val="2E495250"/>
    <w:rsid w:val="2E814EDA"/>
    <w:rsid w:val="307B60BB"/>
    <w:rsid w:val="327D3AC3"/>
    <w:rsid w:val="33B0517F"/>
    <w:rsid w:val="347C3F2B"/>
    <w:rsid w:val="35711EBA"/>
    <w:rsid w:val="357850C8"/>
    <w:rsid w:val="36105552"/>
    <w:rsid w:val="370B41DA"/>
    <w:rsid w:val="38FF1E46"/>
    <w:rsid w:val="3B240E97"/>
    <w:rsid w:val="3B543BE4"/>
    <w:rsid w:val="3B611D1B"/>
    <w:rsid w:val="3BAB4F78"/>
    <w:rsid w:val="3BE160AC"/>
    <w:rsid w:val="3C8B310E"/>
    <w:rsid w:val="410A7F42"/>
    <w:rsid w:val="4166285A"/>
    <w:rsid w:val="422E4822"/>
    <w:rsid w:val="42BC538A"/>
    <w:rsid w:val="435B221F"/>
    <w:rsid w:val="461F7F9A"/>
    <w:rsid w:val="47467B9B"/>
    <w:rsid w:val="475F4B8D"/>
    <w:rsid w:val="47DE1152"/>
    <w:rsid w:val="489E3831"/>
    <w:rsid w:val="4B3F331F"/>
    <w:rsid w:val="4C8B1297"/>
    <w:rsid w:val="4CAA5880"/>
    <w:rsid w:val="4D621621"/>
    <w:rsid w:val="4E065892"/>
    <w:rsid w:val="4ED9366C"/>
    <w:rsid w:val="50FD7AEE"/>
    <w:rsid w:val="5295690B"/>
    <w:rsid w:val="532661FA"/>
    <w:rsid w:val="54415432"/>
    <w:rsid w:val="54664040"/>
    <w:rsid w:val="568D2702"/>
    <w:rsid w:val="5A3A15EA"/>
    <w:rsid w:val="5ADC5520"/>
    <w:rsid w:val="5BE6587A"/>
    <w:rsid w:val="5D9B1BA1"/>
    <w:rsid w:val="608060E1"/>
    <w:rsid w:val="615A0A6C"/>
    <w:rsid w:val="61BD5AE9"/>
    <w:rsid w:val="6200468F"/>
    <w:rsid w:val="64184643"/>
    <w:rsid w:val="64FA2A38"/>
    <w:rsid w:val="65B512EC"/>
    <w:rsid w:val="665D2592"/>
    <w:rsid w:val="68594C20"/>
    <w:rsid w:val="69426BBF"/>
    <w:rsid w:val="69EC44C4"/>
    <w:rsid w:val="6AD24174"/>
    <w:rsid w:val="6D4A44DB"/>
    <w:rsid w:val="6D750AAF"/>
    <w:rsid w:val="6DB15184"/>
    <w:rsid w:val="6DFA0EE5"/>
    <w:rsid w:val="70104573"/>
    <w:rsid w:val="706D6DB2"/>
    <w:rsid w:val="71F1067C"/>
    <w:rsid w:val="73F73AEA"/>
    <w:rsid w:val="746601AB"/>
    <w:rsid w:val="75A3688F"/>
    <w:rsid w:val="75C77D48"/>
    <w:rsid w:val="76F73CBD"/>
    <w:rsid w:val="773C412C"/>
    <w:rsid w:val="78A026EA"/>
    <w:rsid w:val="78C04674"/>
    <w:rsid w:val="7A6D4269"/>
    <w:rsid w:val="7BBB198C"/>
    <w:rsid w:val="7DFE29A2"/>
    <w:rsid w:val="7F7125FC"/>
    <w:rsid w:val="7F831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宋体" w:cs="Times New Roman"/>
      <w:kern w:val="2"/>
      <w:sz w:val="21"/>
      <w:szCs w:val="21"/>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Normal (Web)"/>
    <w:qFormat/>
    <w:uiPriority w:val="0"/>
    <w:pPr>
      <w:widowControl w:val="0"/>
      <w:spacing w:before="100" w:beforeAutospacing="1" w:after="100" w:afterAutospacing="1"/>
      <w:jc w:val="left"/>
    </w:pPr>
    <w:rPr>
      <w:rFonts w:ascii="仿宋_GB2312" w:hAnsi="Times New Roman" w:eastAsia="仿宋_GB2312" w:cs="Times New Roman"/>
      <w:kern w:val="0"/>
      <w:sz w:val="2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2910</Words>
  <Characters>3041</Characters>
  <Lines>0</Lines>
  <Paragraphs>0</Paragraphs>
  <TotalTime>13</TotalTime>
  <ScaleCrop>false</ScaleCrop>
  <LinksUpToDate>false</LinksUpToDate>
  <CharactersWithSpaces>3041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2024-01-20T07:44:00Z</dcterms:created>
  <dc:creator>wanghuang</dc:creator>
  <cp:lastModifiedBy>Lenovo</cp:lastModifiedBy>
  <dcterms:modified xsi:type="dcterms:W3CDTF">2024-07-03T02:49:27Z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CE62ECCDCB0742699EEBF0CDE8AAEF81</vt:lpwstr>
  </property>
</Properties>
</file>