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CAA2E">
      <w:pPr>
        <w:jc w:val="center"/>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金寨县槐树湾乡人民政府2021年政府信息公开年度报告</w:t>
      </w:r>
    </w:p>
    <w:p w14:paraId="5FCEC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pPr>
      <w:r>
        <w:rPr>
          <w:rFonts w:ascii="仿宋_GB2312" w:hAnsi="Tahoma" w:eastAsia="仿宋_GB2312" w:cs="仿宋_GB2312"/>
          <w:color w:val="000000"/>
          <w:spacing w:val="0"/>
          <w:kern w:val="0"/>
          <w:sz w:val="32"/>
          <w:szCs w:val="32"/>
          <w:u w:val="none"/>
          <w:lang w:val="en-US" w:eastAsia="zh-CN" w:bidi="ar"/>
        </w:rPr>
        <w:t>本报告依据</w:t>
      </w:r>
      <w:r>
        <w:rPr>
          <w:rFonts w:hint="eastAsia" w:ascii="仿宋_GB2312" w:hAnsi="Tahoma" w:eastAsia="仿宋_GB2312" w:cs="仿宋_GB2312"/>
          <w:color w:val="000000"/>
          <w:spacing w:val="0"/>
          <w:kern w:val="0"/>
          <w:sz w:val="32"/>
          <w:szCs w:val="32"/>
          <w:u w:val="none"/>
          <w:lang w:val="en-US" w:eastAsia="zh-CN" w:bidi="ar"/>
        </w:rPr>
        <w:t>《六安市政务公开办公室关于做好政府信息公开年度报告编制和发布工作的通知》(六政务公开办〔2021]64号)和《金寨县政务公开办公室关于做好2021年度政府信息公开年度报告编制工作的通知》（金政公开〔2021〕28号）要求编制而成。报告主要包括：总体情况、行</w:t>
      </w:r>
      <w:bookmarkStart w:id="0" w:name="_GoBack"/>
      <w:bookmarkEnd w:id="0"/>
      <w:r>
        <w:rPr>
          <w:rFonts w:hint="eastAsia" w:ascii="仿宋_GB2312" w:hAnsi="Tahoma" w:eastAsia="仿宋_GB2312" w:cs="仿宋_GB2312"/>
          <w:color w:val="000000"/>
          <w:spacing w:val="0"/>
          <w:kern w:val="0"/>
          <w:sz w:val="32"/>
          <w:szCs w:val="32"/>
          <w:u w:val="none"/>
          <w:lang w:val="en-US" w:eastAsia="zh-CN" w:bidi="ar"/>
        </w:rPr>
        <w:t>政机关主动公开政府信息情况、收到和处理政府信息公开申请情况、政府信息公开行政复议、行政诉讼情况、政府信息公开工作存在的主要问题及改进情况和其他需要报告的事项。本报告中使用数据统计期限为2021年1月1日至12月31日，</w:t>
      </w:r>
      <w:r>
        <w:rPr>
          <w:rFonts w:hint="eastAsia" w:ascii="仿宋_GB2312" w:hAnsi="Tahoma" w:eastAsia="仿宋_GB2312" w:cs="仿宋_GB2312"/>
          <w:color w:val="282828"/>
          <w:spacing w:val="0"/>
          <w:kern w:val="0"/>
          <w:sz w:val="32"/>
          <w:szCs w:val="32"/>
          <w:u w:val="none"/>
          <w:lang w:val="en-US" w:eastAsia="zh-CN" w:bidi="ar"/>
        </w:rPr>
        <w:t>如对本报告有任何</w:t>
      </w:r>
      <w:r>
        <w:rPr>
          <w:rFonts w:hint="eastAsia" w:ascii="仿宋_GB2312" w:hAnsi="Tahoma" w:eastAsia="仿宋_GB2312" w:cs="仿宋_GB2312"/>
          <w:color w:val="000000"/>
          <w:spacing w:val="0"/>
          <w:kern w:val="0"/>
          <w:sz w:val="32"/>
          <w:szCs w:val="32"/>
          <w:u w:val="none"/>
          <w:lang w:val="en-US" w:eastAsia="zh-CN" w:bidi="ar"/>
        </w:rPr>
        <w:t>疑问，请与槐树湾乡党政办公室联系（地址：金寨县槐树湾乡人民政府；邮编：237352；电话：2700211）。</w:t>
      </w:r>
    </w:p>
    <w:p w14:paraId="00E02E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ascii="黑体" w:hAnsi="宋体" w:eastAsia="黑体" w:cs="黑体"/>
          <w:i w:val="0"/>
          <w:iCs w:val="0"/>
          <w:caps w:val="0"/>
          <w:color w:val="333333"/>
          <w:spacing w:val="0"/>
          <w:kern w:val="0"/>
          <w:sz w:val="32"/>
          <w:szCs w:val="32"/>
          <w:bdr w:val="none" w:color="auto" w:sz="0" w:space="0"/>
          <w:shd w:val="clear" w:fill="FFFFFF"/>
        </w:rPr>
        <w:t>一、总体情况</w:t>
      </w:r>
    </w:p>
    <w:p w14:paraId="667EA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ascii="楷体_GB2312" w:eastAsia="楷体_GB2312" w:cs="楷体_GB2312"/>
          <w:b/>
          <w:bCs/>
          <w:i w:val="0"/>
          <w:iCs w:val="0"/>
          <w:caps w:val="0"/>
          <w:color w:val="333333"/>
          <w:spacing w:val="0"/>
          <w:kern w:val="0"/>
          <w:sz w:val="32"/>
          <w:szCs w:val="32"/>
          <w:bdr w:val="none" w:color="auto" w:sz="0" w:space="0"/>
          <w:shd w:val="clear" w:fill="FFFFFF"/>
        </w:rPr>
        <w:t>（一）主动公开</w:t>
      </w:r>
    </w:p>
    <w:p w14:paraId="2D317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i w:val="0"/>
          <w:iCs w:val="0"/>
          <w:caps w:val="0"/>
          <w:color w:val="282828"/>
          <w:spacing w:val="0"/>
          <w:kern w:val="0"/>
          <w:sz w:val="32"/>
          <w:szCs w:val="32"/>
          <w:bdr w:val="none" w:color="auto" w:sz="0" w:space="0"/>
          <w:shd w:val="clear" w:fill="FFFFFF"/>
        </w:rPr>
        <w:t>2021年度在本乡政务信息公开网上主动公开信息3771条。其中财政专项资金482条，政策解读25条，回应关切26条，疫情防控4条，规划信息17条。在公开的内容上，既以上级的要求为依据，又注意结合本乡的实际，不断健全和维护本乡新政务信息公开平台。对本单位政府信息公开网有所变动的栏目内容进行及时更新，如领导简介、分工、内部设置、财政预决算有关信息等，同时采用图表、图片等多种可视化形式进行政策解读、为民服务流程说明。</w:t>
      </w:r>
    </w:p>
    <w:p w14:paraId="73B18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楷体_GB2312" w:eastAsia="楷体_GB2312" w:cs="楷体_GB2312"/>
          <w:b/>
          <w:bCs/>
          <w:i w:val="0"/>
          <w:iCs w:val="0"/>
          <w:caps w:val="0"/>
          <w:color w:val="333333"/>
          <w:spacing w:val="0"/>
          <w:kern w:val="0"/>
          <w:sz w:val="32"/>
          <w:szCs w:val="32"/>
          <w:bdr w:val="none" w:color="auto" w:sz="0" w:space="0"/>
          <w:shd w:val="clear" w:fill="FFFFFF"/>
        </w:rPr>
        <w:t>（二）依申请公开</w:t>
      </w:r>
    </w:p>
    <w:p w14:paraId="09A7C2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i w:val="0"/>
          <w:iCs w:val="0"/>
          <w:caps w:val="0"/>
          <w:color w:val="282828"/>
          <w:spacing w:val="0"/>
          <w:kern w:val="0"/>
          <w:sz w:val="32"/>
          <w:szCs w:val="32"/>
          <w:bdr w:val="none" w:color="auto" w:sz="0" w:space="0"/>
          <w:shd w:val="clear" w:fill="FFFFFF"/>
        </w:rPr>
        <w:t>槐树湾乡建立完善的信息公开申请登记、审核、办理、答复、归档的工作制度。及时修订政府信息公开指南，逐一列示信息公开申请渠道。槐树湾乡2021年度没有收到依申请公开情况。</w:t>
      </w:r>
    </w:p>
    <w:p w14:paraId="3F056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楷体_GB2312" w:eastAsia="楷体_GB2312" w:cs="楷体_GB2312"/>
          <w:b/>
          <w:bCs/>
          <w:i w:val="0"/>
          <w:iCs w:val="0"/>
          <w:caps w:val="0"/>
          <w:color w:val="333333"/>
          <w:spacing w:val="0"/>
          <w:kern w:val="0"/>
          <w:sz w:val="32"/>
          <w:szCs w:val="32"/>
          <w:bdr w:val="none" w:color="auto" w:sz="0" w:space="0"/>
          <w:shd w:val="clear" w:fill="FFFFFF"/>
        </w:rPr>
        <w:t>（三）政府信息管理</w:t>
      </w:r>
    </w:p>
    <w:p w14:paraId="64105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i w:val="0"/>
          <w:iCs w:val="0"/>
          <w:caps w:val="0"/>
          <w:color w:val="282828"/>
          <w:spacing w:val="0"/>
          <w:kern w:val="0"/>
          <w:sz w:val="32"/>
          <w:szCs w:val="32"/>
          <w:bdr w:val="none" w:color="auto" w:sz="0" w:space="0"/>
          <w:shd w:val="clear" w:fill="FFFFFF"/>
        </w:rPr>
        <w:t>为构建并完善群众利益诉求受理和办理，认真处理相关投诉和网络问政反馈督办的办理，我乡确定专职工作人员每天登陆“市长热线”“书记信箱”查看群众咨询投诉，并按要求在规定的时间内办结。同时根据保密工作制度的特殊性，我乡加强信息发布的审核工作及隐私排查工作，对需要保密的信息坚决不予公开。</w:t>
      </w:r>
    </w:p>
    <w:p w14:paraId="7EE6F5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楷体_GB2312" w:eastAsia="楷体_GB2312" w:cs="楷体_GB2312"/>
          <w:b/>
          <w:bCs/>
          <w:i w:val="0"/>
          <w:iCs w:val="0"/>
          <w:caps w:val="0"/>
          <w:color w:val="333333"/>
          <w:spacing w:val="0"/>
          <w:kern w:val="0"/>
          <w:sz w:val="32"/>
          <w:szCs w:val="32"/>
          <w:bdr w:val="none" w:color="auto" w:sz="0" w:space="0"/>
          <w:shd w:val="clear" w:fill="FFFFFF"/>
        </w:rPr>
        <w:t>（四）政府信息公开平台建设情况</w:t>
      </w:r>
    </w:p>
    <w:p w14:paraId="4496F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caps w:val="0"/>
          <w:color w:val="282828"/>
          <w:spacing w:val="0"/>
          <w:sz w:val="32"/>
          <w:szCs w:val="32"/>
          <w:bdr w:val="none" w:color="auto" w:sz="0" w:space="0"/>
          <w:shd w:val="clear" w:fill="FFFFFF"/>
        </w:rPr>
        <w:t>在县政府办的指导下，进一步完善了我乡政务公开栏、村务公开栏的建设</w:t>
      </w:r>
      <w:r>
        <w:rPr>
          <w:rFonts w:hint="eastAsia" w:ascii="仿宋" w:hAnsi="仿宋" w:eastAsia="仿宋" w:cs="仿宋"/>
          <w:i w:val="0"/>
          <w:iCs w:val="0"/>
          <w:caps w:val="0"/>
          <w:color w:val="000000"/>
          <w:spacing w:val="0"/>
          <w:sz w:val="32"/>
          <w:szCs w:val="32"/>
          <w:bdr w:val="none" w:color="auto" w:sz="0" w:space="0"/>
          <w:shd w:val="clear" w:fill="FFFFFF"/>
        </w:rPr>
        <w:t>，</w:t>
      </w:r>
      <w:r>
        <w:rPr>
          <w:rFonts w:hint="eastAsia" w:ascii="仿宋_GB2312" w:eastAsia="仿宋_GB2312" w:cs="仿宋_GB2312"/>
          <w:caps w:val="0"/>
          <w:color w:val="282828"/>
          <w:spacing w:val="0"/>
          <w:sz w:val="32"/>
          <w:szCs w:val="32"/>
          <w:bdr w:val="none" w:color="auto" w:sz="0" w:space="0"/>
          <w:shd w:val="clear" w:fill="FFFFFF"/>
        </w:rPr>
        <w:t>依托我乡为民服务中心、乡政务公开栏，及时把涉及群众切身利益的信息公开发布，</w:t>
      </w:r>
      <w:r>
        <w:rPr>
          <w:rFonts w:hint="eastAsia" w:ascii="仿宋_GB2312" w:eastAsia="仿宋_GB2312" w:cs="仿宋_GB2312"/>
          <w:i w:val="0"/>
          <w:iCs w:val="0"/>
          <w:caps w:val="0"/>
          <w:color w:val="282828"/>
          <w:spacing w:val="0"/>
          <w:kern w:val="0"/>
          <w:sz w:val="32"/>
          <w:szCs w:val="32"/>
          <w:bdr w:val="none" w:color="auto" w:sz="0" w:space="0"/>
          <w:shd w:val="clear" w:fill="FFFFFF"/>
        </w:rPr>
        <w:t>让</w:t>
      </w:r>
      <w:r>
        <w:rPr>
          <w:rFonts w:hint="eastAsia" w:ascii="仿宋_GB2312" w:eastAsia="仿宋_GB2312" w:cs="仿宋_GB2312"/>
          <w:caps w:val="0"/>
          <w:color w:val="282828"/>
          <w:spacing w:val="0"/>
          <w:sz w:val="32"/>
          <w:szCs w:val="32"/>
          <w:bdr w:val="none" w:color="auto" w:sz="0" w:space="0"/>
          <w:shd w:val="clear" w:fill="FFFFFF"/>
        </w:rPr>
        <w:t>群众获取信息的渠道更为通畅。同时，为方面群众查询各类政务公开事项，乡政务公开办在便民大厅专门设置政务公开专区，并放置“政务公开查询点”标志牌。</w:t>
      </w:r>
    </w:p>
    <w:p w14:paraId="28EE0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楷体_GB2312" w:eastAsia="楷体_GB2312" w:cs="楷体_GB2312"/>
          <w:b/>
          <w:bCs/>
          <w:i w:val="0"/>
          <w:iCs w:val="0"/>
          <w:caps w:val="0"/>
          <w:color w:val="333333"/>
          <w:spacing w:val="0"/>
          <w:kern w:val="0"/>
          <w:sz w:val="32"/>
          <w:szCs w:val="32"/>
          <w:bdr w:val="none" w:color="auto" w:sz="0" w:space="0"/>
          <w:shd w:val="clear" w:fill="FFFFFF"/>
        </w:rPr>
        <w:t>（五）监督保障</w:t>
      </w:r>
    </w:p>
    <w:p w14:paraId="22649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i w:val="0"/>
          <w:iCs w:val="0"/>
          <w:caps w:val="0"/>
          <w:color w:val="282828"/>
          <w:spacing w:val="0"/>
          <w:kern w:val="0"/>
          <w:sz w:val="32"/>
          <w:szCs w:val="32"/>
          <w:bdr w:val="none" w:color="auto" w:sz="0" w:space="0"/>
          <w:shd w:val="clear" w:fill="FFFFFF"/>
        </w:rPr>
        <w:t>为了更好的运行政务信息公开，我乡出台了政府信息公开工作相关制度，建立完善的培训、考核、监督机制。明确由副乡长彭晗分管政务公开工作，年度共开展4次相关培训及相关培训后考核工作。确保政务信息公开工作正常开展。2021年度我乡社会评议良好，未产生责任追究相关问题和结果。</w:t>
      </w:r>
    </w:p>
    <w:p w14:paraId="32C82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黑体" w:hAnsi="宋体" w:eastAsia="黑体" w:cs="黑体"/>
          <w:i w:val="0"/>
          <w:iCs w:val="0"/>
          <w:caps w:val="0"/>
          <w:color w:val="333333"/>
          <w:spacing w:val="0"/>
          <w:kern w:val="0"/>
          <w:sz w:val="32"/>
          <w:szCs w:val="32"/>
          <w:bdr w:val="none" w:color="auto" w:sz="0" w:space="0"/>
          <w:shd w:val="clear" w:fill="FFFFFF"/>
        </w:rPr>
        <w:t>二、主动公开政府信息情况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35"/>
        <w:gridCol w:w="2435"/>
        <w:gridCol w:w="2435"/>
        <w:gridCol w:w="2435"/>
      </w:tblGrid>
      <w:tr w14:paraId="5E09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41E7FC9">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第二十条第（一）项</w:t>
            </w:r>
          </w:p>
        </w:tc>
      </w:tr>
      <w:tr w14:paraId="5F4B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7E1AF8DC">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信息内容</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14:paraId="697CEE58">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本年</w:t>
            </w:r>
            <w:r>
              <w:rPr>
                <w:rFonts w:hint="eastAsia" w:ascii="宋体" w:hAnsi="宋体" w:eastAsia="宋体" w:cs="宋体"/>
                <w:kern w:val="0"/>
                <w:sz w:val="20"/>
                <w:szCs w:val="20"/>
                <w:u w:val="none"/>
                <w:bdr w:val="none" w:color="auto" w:sz="0" w:space="0"/>
                <w:lang w:val="en-US" w:eastAsia="zh-CN" w:bidi="ar"/>
              </w:rPr>
              <w:t>制发件数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14:paraId="3A623814">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14:paraId="6F80DFA8">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现行有效件</w:t>
            </w:r>
            <w:r>
              <w:rPr>
                <w:rFonts w:hint="eastAsia" w:ascii="宋体" w:hAnsi="宋体" w:eastAsia="宋体" w:cs="宋体"/>
                <w:kern w:val="0"/>
                <w:sz w:val="20"/>
                <w:szCs w:val="20"/>
                <w:u w:val="none"/>
                <w:bdr w:val="none" w:color="auto" w:sz="0" w:space="0"/>
                <w:lang w:val="en-US" w:eastAsia="zh-CN" w:bidi="ar"/>
              </w:rPr>
              <w:t>数</w:t>
            </w:r>
          </w:p>
        </w:tc>
      </w:tr>
      <w:tr w14:paraId="4F68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3547C826">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0"/>
                <w:szCs w:val="20"/>
                <w:u w:val="none"/>
                <w:bdr w:val="none" w:color="auto" w:sz="0" w:space="0"/>
                <w:lang w:val="en-US" w:eastAsia="zh-CN" w:bidi="ar"/>
              </w:rPr>
              <w:t>规章</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0AE4869D">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 xml:space="preserve">   0  </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4BA1043F">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284FF559">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  0 </w:t>
            </w:r>
          </w:p>
        </w:tc>
      </w:tr>
      <w:tr w14:paraId="134F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48C11849">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0"/>
                <w:szCs w:val="20"/>
                <w:u w:val="none"/>
                <w:bdr w:val="none" w:color="auto" w:sz="0" w:space="0"/>
                <w:lang w:val="en-US" w:eastAsia="zh-CN" w:bidi="ar"/>
              </w:rPr>
              <w:t>行政规范性文件</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64E8D04A">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6214DC8B">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14:paraId="1C22F65A">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0</w:t>
            </w:r>
          </w:p>
        </w:tc>
      </w:tr>
      <w:tr w14:paraId="4FE1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F1046B6">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第二十条第（五）项</w:t>
            </w:r>
          </w:p>
        </w:tc>
      </w:tr>
      <w:tr w14:paraId="1EA2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8050E15">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信息内容</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149448B8">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本年处理决定数量</w:t>
            </w:r>
          </w:p>
        </w:tc>
      </w:tr>
      <w:tr w14:paraId="1C84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389F01DE">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0"/>
                <w:szCs w:val="20"/>
                <w:u w:val="none"/>
                <w:bdr w:val="none" w:color="auto" w:sz="0" w:space="0"/>
                <w:lang w:val="en-US" w:eastAsia="zh-CN" w:bidi="ar"/>
              </w:rPr>
              <w:t>行政许可</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05F5688D">
            <w:pPr>
              <w:keepNext w:val="0"/>
              <w:keepLines w:val="0"/>
              <w:widowControl/>
              <w:suppressLineNumbers w:val="0"/>
              <w:spacing w:before="0" w:beforeAutospacing="0" w:after="0" w:afterAutospacing="0"/>
              <w:ind w:left="0" w:right="0"/>
              <w:jc w:val="center"/>
            </w:pPr>
            <w:r>
              <w:rPr>
                <w:rFonts w:ascii="Calibri" w:hAnsi="Calibri" w:eastAsia="仿宋_GB2312" w:cs="Calibri"/>
                <w:kern w:val="0"/>
                <w:sz w:val="21"/>
                <w:szCs w:val="21"/>
                <w:u w:val="none"/>
                <w:bdr w:val="none" w:color="auto" w:sz="0" w:space="0"/>
                <w:lang w:val="en-US" w:eastAsia="zh-CN" w:bidi="ar"/>
              </w:rPr>
              <w:t>0</w:t>
            </w:r>
          </w:p>
        </w:tc>
      </w:tr>
      <w:tr w14:paraId="4DB0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9FAFE72">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第二十条第（六）项</w:t>
            </w:r>
          </w:p>
        </w:tc>
      </w:tr>
      <w:tr w14:paraId="4A8D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E767C62">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kern w:val="0"/>
                <w:sz w:val="20"/>
                <w:szCs w:val="20"/>
                <w:u w:val="none"/>
                <w:bdr w:val="none" w:color="auto" w:sz="0" w:space="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14:paraId="46E2FFD5">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kern w:val="0"/>
                <w:sz w:val="20"/>
                <w:szCs w:val="20"/>
                <w:u w:val="none"/>
                <w:bdr w:val="none" w:color="auto" w:sz="0" w:space="0"/>
                <w:lang w:val="en-US" w:eastAsia="zh-CN" w:bidi="ar"/>
              </w:rPr>
              <w:t>本年处理决定数量</w:t>
            </w:r>
          </w:p>
        </w:tc>
      </w:tr>
      <w:tr w14:paraId="190B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4149FB65">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0"/>
                <w:szCs w:val="20"/>
                <w:u w:val="none"/>
                <w:bdr w:val="none" w:color="auto" w:sz="0" w:space="0"/>
                <w:lang w:val="en-US" w:eastAsia="zh-CN" w:bidi="ar"/>
              </w:rPr>
              <w:t>行政处罚</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29055150">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0　</w:t>
            </w:r>
          </w:p>
        </w:tc>
      </w:tr>
      <w:tr w14:paraId="70FA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1002C70A">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0"/>
                <w:szCs w:val="20"/>
                <w:u w:val="none"/>
                <w:bdr w:val="none" w:color="auto" w:sz="0" w:space="0"/>
                <w:lang w:val="en-US" w:eastAsia="zh-CN" w:bidi="ar"/>
              </w:rPr>
              <w:t>行政强制</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14:paraId="443E52F5">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0　</w:t>
            </w:r>
          </w:p>
        </w:tc>
      </w:tr>
      <w:tr w14:paraId="76EF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C520281">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第二十条第（八）项</w:t>
            </w:r>
          </w:p>
        </w:tc>
      </w:tr>
      <w:tr w14:paraId="1D99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06614928">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信息内容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14:paraId="5234072F">
            <w:pPr>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kern w:val="0"/>
                <w:sz w:val="20"/>
                <w:szCs w:val="20"/>
                <w:u w:val="none"/>
                <w:bdr w:val="none" w:color="auto" w:sz="0" w:space="0"/>
                <w:lang w:val="en-US" w:eastAsia="zh-CN" w:bidi="ar"/>
              </w:rPr>
              <w:t>本年收费金额（单位：万元）</w:t>
            </w:r>
          </w:p>
        </w:tc>
      </w:tr>
      <w:tr w14:paraId="61E4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14:paraId="19043921">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0"/>
                <w:szCs w:val="20"/>
                <w:u w:val="none"/>
                <w:bdr w:val="none" w:color="auto" w:sz="0" w:space="0"/>
                <w:lang w:val="en-US" w:eastAsia="zh-CN" w:bidi="ar"/>
              </w:rPr>
              <w:t>行政事业性收费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14:paraId="320DC12C">
            <w:pPr>
              <w:keepNext w:val="0"/>
              <w:keepLines w:val="0"/>
              <w:widowControl w:val="0"/>
              <w:suppressLineNumbers w:val="0"/>
              <w:spacing w:before="0" w:beforeAutospacing="0" w:after="0" w:afterAutospacing="0"/>
              <w:ind w:left="0" w:right="0"/>
              <w:jc w:val="center"/>
            </w:pPr>
            <w:r>
              <w:rPr>
                <w:rFonts w:hint="eastAsia" w:ascii="宋体" w:hAnsi="宋体" w:eastAsia="宋体" w:cs="宋体"/>
                <w:kern w:val="2"/>
                <w:sz w:val="24"/>
                <w:szCs w:val="24"/>
                <w:u w:val="none"/>
                <w:bdr w:val="none" w:color="auto" w:sz="0" w:space="0"/>
                <w:lang w:val="en-US" w:eastAsia="zh-CN" w:bidi="ar"/>
              </w:rPr>
              <w:t>0</w:t>
            </w:r>
          </w:p>
        </w:tc>
      </w:tr>
    </w:tbl>
    <w:p w14:paraId="12E4A0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黑体" w:hAnsi="宋体" w:eastAsia="黑体" w:cs="黑体"/>
          <w:i w:val="0"/>
          <w:iCs w:val="0"/>
          <w:caps w:val="0"/>
          <w:color w:val="333333"/>
          <w:spacing w:val="0"/>
          <w:kern w:val="0"/>
          <w:sz w:val="32"/>
          <w:szCs w:val="32"/>
          <w:bdr w:val="none" w:color="auto" w:sz="0" w:space="0"/>
          <w:shd w:val="clear" w:fill="FFFFFF"/>
        </w:rPr>
        <w:t>三、收到和处理政府信息公开申请情况</w:t>
      </w:r>
    </w:p>
    <w:tbl>
      <w:tblPr>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33"/>
        <w:gridCol w:w="913"/>
        <w:gridCol w:w="2919"/>
        <w:gridCol w:w="658"/>
        <w:gridCol w:w="673"/>
        <w:gridCol w:w="673"/>
        <w:gridCol w:w="673"/>
        <w:gridCol w:w="673"/>
        <w:gridCol w:w="1002"/>
        <w:gridCol w:w="823"/>
      </w:tblGrid>
      <w:tr w14:paraId="06A082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455" w:type="dxa"/>
            <w:gridSpan w:val="3"/>
            <w:vMerge w:val="restart"/>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14:paraId="133AD52D">
            <w:pPr>
              <w:keepNext w:val="0"/>
              <w:keepLines w:val="0"/>
              <w:widowControl/>
              <w:suppressLineNumbers w:val="0"/>
              <w:spacing w:before="0" w:beforeAutospacing="0" w:after="0" w:afterAutospacing="0"/>
              <w:ind w:left="0" w:right="0"/>
              <w:jc w:val="center"/>
            </w:pPr>
            <w:r>
              <w:rPr>
                <w:rFonts w:ascii="楷体" w:hAnsi="楷体" w:eastAsia="楷体" w:cs="楷体"/>
                <w:kern w:val="0"/>
                <w:sz w:val="20"/>
                <w:szCs w:val="20"/>
                <w:u w:val="none"/>
                <w:bdr w:val="none" w:color="auto" w:sz="0" w:space="0"/>
                <w:lang w:val="en-US" w:eastAsia="zh-CN" w:bidi="ar"/>
              </w:rPr>
              <w:t>（本列数据的勾稽关系为：第一项加第二项之和，等于第三项加第四项之和）</w:t>
            </w:r>
          </w:p>
        </w:tc>
        <w:tc>
          <w:tcPr>
            <w:tcW w:w="4980" w:type="dxa"/>
            <w:gridSpan w:val="7"/>
            <w:tcBorders>
              <w:top w:val="single" w:color="auto" w:sz="8" w:space="0"/>
              <w:left w:val="nil"/>
              <w:bottom w:val="single" w:color="auto" w:sz="8" w:space="0"/>
              <w:right w:val="single" w:color="auto" w:sz="8" w:space="0"/>
            </w:tcBorders>
            <w:shd w:val="clear"/>
            <w:tcMar>
              <w:left w:w="57" w:type="dxa"/>
              <w:right w:w="57" w:type="dxa"/>
            </w:tcMar>
            <w:vAlign w:val="center"/>
          </w:tcPr>
          <w:p w14:paraId="6689490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申请人情况</w:t>
            </w:r>
          </w:p>
        </w:tc>
      </w:tr>
      <w:tr w14:paraId="5A911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55"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14:paraId="0F930802">
            <w:pPr>
              <w:jc w:val="center"/>
              <w:rPr>
                <w:rFonts w:hint="eastAsia" w:ascii="宋体"/>
                <w:sz w:val="24"/>
                <w:szCs w:val="24"/>
              </w:rPr>
            </w:pPr>
          </w:p>
        </w:tc>
        <w:tc>
          <w:tcPr>
            <w:tcW w:w="630" w:type="dxa"/>
            <w:vMerge w:val="restart"/>
            <w:tcBorders>
              <w:top w:val="nil"/>
              <w:left w:val="nil"/>
              <w:bottom w:val="single" w:color="auto" w:sz="8" w:space="0"/>
              <w:right w:val="single" w:color="auto" w:sz="8" w:space="0"/>
            </w:tcBorders>
            <w:shd w:val="clear"/>
            <w:tcMar>
              <w:left w:w="57" w:type="dxa"/>
              <w:right w:w="57" w:type="dxa"/>
            </w:tcMar>
            <w:vAlign w:val="center"/>
          </w:tcPr>
          <w:p w14:paraId="6E82EBD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自然人</w:t>
            </w:r>
          </w:p>
        </w:tc>
        <w:tc>
          <w:tcPr>
            <w:tcW w:w="3525" w:type="dxa"/>
            <w:gridSpan w:val="5"/>
            <w:tcBorders>
              <w:top w:val="single" w:color="auto" w:sz="8" w:space="0"/>
              <w:left w:val="nil"/>
              <w:bottom w:val="single" w:color="auto" w:sz="8" w:space="0"/>
              <w:right w:val="single" w:color="auto" w:sz="8" w:space="0"/>
            </w:tcBorders>
            <w:shd w:val="clear"/>
            <w:tcMar>
              <w:left w:w="57" w:type="dxa"/>
              <w:right w:w="57" w:type="dxa"/>
            </w:tcMar>
            <w:vAlign w:val="center"/>
          </w:tcPr>
          <w:p w14:paraId="42C2978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法人或其他组织</w:t>
            </w:r>
          </w:p>
        </w:tc>
        <w:tc>
          <w:tcPr>
            <w:tcW w:w="630" w:type="dxa"/>
            <w:vMerge w:val="restart"/>
            <w:tcBorders>
              <w:top w:val="single" w:color="auto" w:sz="8" w:space="0"/>
              <w:left w:val="nil"/>
              <w:bottom w:val="outset" w:color="auto" w:sz="8" w:space="0"/>
              <w:right w:val="single" w:color="auto" w:sz="8" w:space="0"/>
            </w:tcBorders>
            <w:shd w:val="clear"/>
            <w:tcMar>
              <w:left w:w="57" w:type="dxa"/>
              <w:right w:w="57" w:type="dxa"/>
            </w:tcMar>
            <w:vAlign w:val="center"/>
          </w:tcPr>
          <w:p w14:paraId="290D9E3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总计</w:t>
            </w:r>
          </w:p>
        </w:tc>
      </w:tr>
      <w:tr w14:paraId="11E46C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86" w:hRule="atLeast"/>
          <w:jc w:val="center"/>
        </w:trPr>
        <w:tc>
          <w:tcPr>
            <w:tcW w:w="4455"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14:paraId="7B2B214A">
            <w:pPr>
              <w:jc w:val="center"/>
              <w:rPr>
                <w:rFonts w:hint="eastAsia" w:ascii="宋体"/>
                <w:sz w:val="24"/>
                <w:szCs w:val="24"/>
              </w:rPr>
            </w:pPr>
          </w:p>
        </w:tc>
        <w:tc>
          <w:tcPr>
            <w:tcW w:w="630" w:type="dxa"/>
            <w:vMerge w:val="continue"/>
            <w:tcBorders>
              <w:top w:val="nil"/>
              <w:left w:val="nil"/>
              <w:bottom w:val="single" w:color="auto" w:sz="8" w:space="0"/>
              <w:right w:val="single" w:color="auto" w:sz="8" w:space="0"/>
            </w:tcBorders>
            <w:shd w:val="clear"/>
            <w:tcMar>
              <w:left w:w="57" w:type="dxa"/>
              <w:right w:w="57" w:type="dxa"/>
            </w:tcMar>
            <w:vAlign w:val="center"/>
          </w:tcPr>
          <w:p w14:paraId="65DD30D3">
            <w:pPr>
              <w:jc w:val="center"/>
              <w:rPr>
                <w:rFonts w:hint="eastAsia" w:ascii="宋体"/>
                <w:sz w:val="24"/>
                <w:szCs w:val="24"/>
              </w:rPr>
            </w:pP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E6BCDF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商业</w:t>
            </w:r>
          </w:p>
          <w:p w14:paraId="6306F9F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企业</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5E8C8B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科研</w:t>
            </w:r>
          </w:p>
          <w:p w14:paraId="0FDAE64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机构</w:t>
            </w:r>
          </w:p>
        </w:tc>
        <w:tc>
          <w:tcPr>
            <w:tcW w:w="630" w:type="dxa"/>
            <w:tcBorders>
              <w:top w:val="single" w:color="auto" w:sz="8" w:space="0"/>
              <w:left w:val="nil"/>
              <w:bottom w:val="single" w:color="auto" w:sz="8" w:space="0"/>
              <w:right w:val="single" w:color="auto" w:sz="8" w:space="0"/>
            </w:tcBorders>
            <w:shd w:val="clear"/>
            <w:tcMar>
              <w:left w:w="57" w:type="dxa"/>
              <w:right w:w="57" w:type="dxa"/>
            </w:tcMar>
            <w:vAlign w:val="center"/>
          </w:tcPr>
          <w:p w14:paraId="3F1CD7A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社会公益组织</w:t>
            </w:r>
          </w:p>
        </w:tc>
        <w:tc>
          <w:tcPr>
            <w:tcW w:w="630" w:type="dxa"/>
            <w:tcBorders>
              <w:top w:val="single" w:color="auto" w:sz="8" w:space="0"/>
              <w:left w:val="nil"/>
              <w:bottom w:val="single" w:color="auto" w:sz="8" w:space="0"/>
              <w:right w:val="single" w:color="auto" w:sz="8" w:space="0"/>
            </w:tcBorders>
            <w:shd w:val="clear"/>
            <w:tcMar>
              <w:left w:w="57" w:type="dxa"/>
              <w:right w:w="57" w:type="dxa"/>
            </w:tcMar>
            <w:vAlign w:val="center"/>
          </w:tcPr>
          <w:p w14:paraId="7A8589D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法律服务机构</w:t>
            </w:r>
          </w:p>
        </w:tc>
        <w:tc>
          <w:tcPr>
            <w:tcW w:w="630" w:type="dxa"/>
            <w:tcBorders>
              <w:top w:val="single" w:color="auto" w:sz="8" w:space="0"/>
              <w:left w:val="nil"/>
              <w:bottom w:val="single" w:color="auto" w:sz="8" w:space="0"/>
              <w:right w:val="single" w:color="auto" w:sz="8" w:space="0"/>
            </w:tcBorders>
            <w:shd w:val="clear"/>
            <w:tcMar>
              <w:left w:w="57" w:type="dxa"/>
              <w:right w:w="57" w:type="dxa"/>
            </w:tcMar>
            <w:vAlign w:val="center"/>
          </w:tcPr>
          <w:p w14:paraId="2E20044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其他</w:t>
            </w:r>
          </w:p>
        </w:tc>
        <w:tc>
          <w:tcPr>
            <w:tcW w:w="630" w:type="dxa"/>
            <w:vMerge w:val="continue"/>
            <w:tcBorders>
              <w:top w:val="single" w:color="auto" w:sz="8" w:space="0"/>
              <w:left w:val="nil"/>
              <w:bottom w:val="outset" w:color="auto" w:sz="8" w:space="0"/>
              <w:right w:val="single" w:color="auto" w:sz="8" w:space="0"/>
            </w:tcBorders>
            <w:shd w:val="clear"/>
            <w:tcMar>
              <w:left w:w="57" w:type="dxa"/>
              <w:right w:w="57" w:type="dxa"/>
            </w:tcMar>
            <w:vAlign w:val="center"/>
          </w:tcPr>
          <w:p w14:paraId="23BE9FCC">
            <w:pPr>
              <w:jc w:val="center"/>
              <w:rPr>
                <w:rFonts w:hint="eastAsia" w:ascii="宋体"/>
                <w:sz w:val="24"/>
                <w:szCs w:val="24"/>
              </w:rPr>
            </w:pPr>
          </w:p>
        </w:tc>
      </w:tr>
      <w:tr w14:paraId="34288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75"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285B9FE5">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一、本年新收政府信息公开申请数量</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84482E7">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4CC92DF">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782F850">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7743FBE">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9CAF7C3">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80EEEA8">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118519D3">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r>
      <w:tr w14:paraId="33B74B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75"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34D9776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二、上年结转政府信息公开申请数量</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F057DA3">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2F09B28">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80963A4">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77B77BA">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73F0E3B">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686F04B">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53A4F7E5">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r>
      <w:tr w14:paraId="4A8967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735" w:type="dxa"/>
            <w:vMerge w:val="restart"/>
            <w:tcBorders>
              <w:top w:val="nil"/>
              <w:left w:val="single" w:color="auto" w:sz="8" w:space="0"/>
              <w:bottom w:val="outset" w:color="auto" w:sz="8" w:space="0"/>
              <w:right w:val="single" w:color="auto" w:sz="8" w:space="0"/>
            </w:tcBorders>
            <w:shd w:val="clear"/>
            <w:tcMar>
              <w:left w:w="57" w:type="dxa"/>
              <w:right w:w="57" w:type="dxa"/>
            </w:tcMar>
            <w:vAlign w:val="center"/>
          </w:tcPr>
          <w:p w14:paraId="1D2770F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三、本年度办理结果</w:t>
            </w:r>
          </w:p>
        </w:tc>
        <w:tc>
          <w:tcPr>
            <w:tcW w:w="3750" w:type="dxa"/>
            <w:gridSpan w:val="2"/>
            <w:tcBorders>
              <w:top w:val="nil"/>
              <w:left w:val="nil"/>
              <w:bottom w:val="single" w:color="auto" w:sz="8" w:space="0"/>
              <w:right w:val="single" w:color="auto" w:sz="8" w:space="0"/>
            </w:tcBorders>
            <w:shd w:val="clear"/>
            <w:tcMar>
              <w:left w:w="57" w:type="dxa"/>
              <w:right w:w="57" w:type="dxa"/>
            </w:tcMar>
            <w:vAlign w:val="center"/>
          </w:tcPr>
          <w:p w14:paraId="7A8DE65A">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（一）予以公开</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0A11DD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6AEB61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06DB80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1D5F02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8D5491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52F9FA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single" w:color="auto" w:sz="8" w:space="0"/>
              <w:left w:val="nil"/>
              <w:bottom w:val="single" w:color="auto" w:sz="8" w:space="0"/>
              <w:right w:val="single" w:color="auto" w:sz="8" w:space="0"/>
            </w:tcBorders>
            <w:shd w:val="clear"/>
            <w:tcMar>
              <w:left w:w="57" w:type="dxa"/>
              <w:right w:w="57" w:type="dxa"/>
            </w:tcMar>
            <w:vAlign w:val="top"/>
          </w:tcPr>
          <w:p w14:paraId="7505274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4C28E8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1D106C7C">
            <w:pPr>
              <w:jc w:val="center"/>
              <w:rPr>
                <w:rFonts w:hint="eastAsia" w:ascii="宋体"/>
                <w:sz w:val="24"/>
                <w:szCs w:val="24"/>
              </w:rPr>
            </w:pPr>
          </w:p>
        </w:tc>
        <w:tc>
          <w:tcPr>
            <w:tcW w:w="3750" w:type="dxa"/>
            <w:gridSpan w:val="2"/>
            <w:tcBorders>
              <w:top w:val="nil"/>
              <w:left w:val="nil"/>
              <w:bottom w:val="single" w:color="auto" w:sz="8" w:space="0"/>
              <w:right w:val="single" w:color="auto" w:sz="8" w:space="0"/>
            </w:tcBorders>
            <w:shd w:val="clear"/>
            <w:tcMar>
              <w:left w:w="57" w:type="dxa"/>
              <w:right w:w="57" w:type="dxa"/>
            </w:tcMar>
            <w:vAlign w:val="center"/>
          </w:tcPr>
          <w:p w14:paraId="56EFB04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（二）部分公开</w:t>
            </w:r>
            <w:r>
              <w:rPr>
                <w:rFonts w:hint="eastAsia" w:ascii="楷体" w:hAnsi="楷体" w:eastAsia="楷体" w:cs="楷体"/>
                <w:kern w:val="0"/>
                <w:sz w:val="20"/>
                <w:szCs w:val="20"/>
                <w:u w:val="none"/>
                <w:bdr w:val="none" w:color="auto" w:sz="0" w:space="0"/>
                <w:lang w:val="en-US" w:eastAsia="zh-CN" w:bidi="ar"/>
              </w:rPr>
              <w:t>（区分处理的，只计这一情形，不计其他情形）</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9D5222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E2267F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AF667A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E79BF6C">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23D18FE">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3228EF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0103B5D6">
            <w:pPr>
              <w:keepNext w:val="0"/>
              <w:keepLines w:val="0"/>
              <w:widowControl/>
              <w:suppressLineNumbers w:val="0"/>
              <w:spacing w:before="0" w:beforeAutospacing="0" w:after="0" w:afterAutospacing="0" w:line="38" w:lineRule="atLeast"/>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w:t>
            </w:r>
          </w:p>
        </w:tc>
      </w:tr>
      <w:tr w14:paraId="24AF63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0A97FB7">
            <w:pPr>
              <w:jc w:val="center"/>
              <w:rPr>
                <w:rFonts w:hint="eastAsia" w:ascii="宋体"/>
                <w:sz w:val="24"/>
                <w:szCs w:val="24"/>
              </w:rPr>
            </w:pPr>
          </w:p>
        </w:tc>
        <w:tc>
          <w:tcPr>
            <w:tcW w:w="915" w:type="dxa"/>
            <w:vMerge w:val="restart"/>
            <w:tcBorders>
              <w:top w:val="nil"/>
              <w:left w:val="nil"/>
              <w:bottom w:val="outset" w:color="auto" w:sz="8" w:space="0"/>
              <w:right w:val="single" w:color="auto" w:sz="8" w:space="0"/>
            </w:tcBorders>
            <w:shd w:val="clear"/>
            <w:tcMar>
              <w:left w:w="57" w:type="dxa"/>
              <w:right w:w="57" w:type="dxa"/>
            </w:tcMar>
            <w:vAlign w:val="center"/>
          </w:tcPr>
          <w:p w14:paraId="340B26C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（三）不予公开</w:t>
            </w:r>
          </w:p>
        </w:tc>
        <w:tc>
          <w:tcPr>
            <w:tcW w:w="2745" w:type="dxa"/>
            <w:tcBorders>
              <w:top w:val="nil"/>
              <w:left w:val="nil"/>
              <w:bottom w:val="single" w:color="auto" w:sz="8" w:space="0"/>
              <w:right w:val="single" w:color="auto" w:sz="8" w:space="0"/>
            </w:tcBorders>
            <w:shd w:val="clear"/>
            <w:tcMar>
              <w:left w:w="57" w:type="dxa"/>
              <w:right w:w="57" w:type="dxa"/>
            </w:tcMar>
            <w:vAlign w:val="top"/>
          </w:tcPr>
          <w:p w14:paraId="6566F4C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1.属于国家秘密</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95B9EAE">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D83029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6BA572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C78E7D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D659B9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B4F7A2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single" w:color="auto" w:sz="8" w:space="0"/>
              <w:left w:val="nil"/>
              <w:bottom w:val="single" w:color="auto" w:sz="8" w:space="0"/>
              <w:right w:val="single" w:color="auto" w:sz="8" w:space="0"/>
            </w:tcBorders>
            <w:shd w:val="clear"/>
            <w:tcMar>
              <w:left w:w="57" w:type="dxa"/>
              <w:right w:w="57" w:type="dxa"/>
            </w:tcMar>
            <w:vAlign w:val="top"/>
          </w:tcPr>
          <w:p w14:paraId="092DB16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32D12F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B334533">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11FB9E53">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755D34E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2.其他法律行政法规禁止公开</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DB1C22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3EC794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B97C96C">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C36B6D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C9FF6DE">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D055B4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760E18D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38641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B0CD0D7">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52984897">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27FE2D9E">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3.危及“三安全一稳定”</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4C78B4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6F3BDC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995A50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FE190F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1119CA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DE4C61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27A2B6C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0527BF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7021759">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4F0F51E3">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1F25EB4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4.保护第三方合法权益</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110EFB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7AC8204">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03E682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E6E445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669A08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65284A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4F806AB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2EF687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0168AE0">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46BF4A98">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371A0A8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5.属于三类内部事务信息</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329CA2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A058BF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8CA8BA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4A2D02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354A2D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A77127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29C1139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6A800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4642B715">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0758F157">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6A377056">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6.属于四类过程性信息</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6CC366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D82990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C8D9D0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D33933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C4B42D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FAC737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5EF721D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0C3AB4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5785E4E0">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445FDE15">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589A91C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7.属于行政执法案卷</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3F9F5F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E9DDD2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2C9540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B88898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3B14F6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360BC3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192B9A3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0530C8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5687C8B9">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11E5D8E7">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4F90E85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8.属于行政查询事项</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E7D3FB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1BA78B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77F257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DABB4A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77F140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3EFEFD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5B50E8C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13D5C5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15C48994">
            <w:pPr>
              <w:jc w:val="center"/>
              <w:rPr>
                <w:rFonts w:hint="eastAsia" w:ascii="宋体"/>
                <w:sz w:val="24"/>
                <w:szCs w:val="24"/>
              </w:rPr>
            </w:pPr>
          </w:p>
        </w:tc>
        <w:tc>
          <w:tcPr>
            <w:tcW w:w="915" w:type="dxa"/>
            <w:vMerge w:val="restart"/>
            <w:tcBorders>
              <w:top w:val="nil"/>
              <w:left w:val="nil"/>
              <w:bottom w:val="outset" w:color="auto" w:sz="8" w:space="0"/>
              <w:right w:val="single" w:color="auto" w:sz="8" w:space="0"/>
            </w:tcBorders>
            <w:shd w:val="clear"/>
            <w:tcMar>
              <w:left w:w="57" w:type="dxa"/>
              <w:right w:w="57" w:type="dxa"/>
            </w:tcMar>
            <w:vAlign w:val="center"/>
          </w:tcPr>
          <w:p w14:paraId="25C2DC7C">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（四）无法提供</w:t>
            </w:r>
          </w:p>
        </w:tc>
        <w:tc>
          <w:tcPr>
            <w:tcW w:w="2745" w:type="dxa"/>
            <w:tcBorders>
              <w:top w:val="nil"/>
              <w:left w:val="nil"/>
              <w:bottom w:val="single" w:color="auto" w:sz="8" w:space="0"/>
              <w:right w:val="single" w:color="auto" w:sz="8" w:space="0"/>
            </w:tcBorders>
            <w:shd w:val="clear"/>
            <w:tcMar>
              <w:left w:w="57" w:type="dxa"/>
              <w:right w:w="57" w:type="dxa"/>
            </w:tcMar>
            <w:vAlign w:val="top"/>
          </w:tcPr>
          <w:p w14:paraId="4FA2C8A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1.本机关不掌握相关政府信息</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FA40E6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3DE280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D5CE3F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134950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DD6743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A8FD56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7B70F5E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04E46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02C4609">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16949C18">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2F597F4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2.没有现成信息需要另行制作</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EEFF50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A0F9BA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513D52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89FD9C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A8DF27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CBDD74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45AD078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1CE506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968F0B0">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0C736003">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5530CF69">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3.补正后申请内容仍不明确</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A5A003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9C0B9D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7E46AC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C1506C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7BADA3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DF8C1E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4170B12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0AE57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70AE5932">
            <w:pPr>
              <w:jc w:val="center"/>
              <w:rPr>
                <w:rFonts w:hint="eastAsia" w:ascii="宋体"/>
                <w:sz w:val="24"/>
                <w:szCs w:val="24"/>
              </w:rPr>
            </w:pPr>
          </w:p>
        </w:tc>
        <w:tc>
          <w:tcPr>
            <w:tcW w:w="915" w:type="dxa"/>
            <w:vMerge w:val="restart"/>
            <w:tcBorders>
              <w:top w:val="nil"/>
              <w:left w:val="nil"/>
              <w:bottom w:val="outset" w:color="auto" w:sz="8" w:space="0"/>
              <w:right w:val="single" w:color="auto" w:sz="8" w:space="0"/>
            </w:tcBorders>
            <w:shd w:val="clear"/>
            <w:tcMar>
              <w:left w:w="57" w:type="dxa"/>
              <w:right w:w="57" w:type="dxa"/>
            </w:tcMar>
            <w:vAlign w:val="center"/>
          </w:tcPr>
          <w:p w14:paraId="6361B5B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（五）不予处理</w:t>
            </w:r>
          </w:p>
        </w:tc>
        <w:tc>
          <w:tcPr>
            <w:tcW w:w="2745" w:type="dxa"/>
            <w:tcBorders>
              <w:top w:val="nil"/>
              <w:left w:val="nil"/>
              <w:bottom w:val="single" w:color="auto" w:sz="8" w:space="0"/>
              <w:right w:val="single" w:color="auto" w:sz="8" w:space="0"/>
            </w:tcBorders>
            <w:shd w:val="clear"/>
            <w:tcMar>
              <w:left w:w="57" w:type="dxa"/>
              <w:right w:w="57" w:type="dxa"/>
            </w:tcMar>
            <w:vAlign w:val="top"/>
          </w:tcPr>
          <w:p w14:paraId="3963686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1.信访举报投诉类申请</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FAE00E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98238F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BD6077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30B44D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84141C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1ED2522C">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67D18A3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20797C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66C90B1">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79801E9D">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0E233F9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2.重复申请</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DE64324">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E419C34">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18B707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159B42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112DF6E">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88FC55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126B4F1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37C3A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50C94BD">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05902286">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0C4CF39D">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3.要求提供公开出版物</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AE4818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DE4406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DB9964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DEFFE8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15041F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F629DA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4BE6568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7E7C0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431AFE3B">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1DB1BEDB">
            <w:pPr>
              <w:jc w:val="center"/>
              <w:rPr>
                <w:rFonts w:hint="eastAsia" w:ascii="宋体"/>
                <w:sz w:val="24"/>
                <w:szCs w:val="24"/>
              </w:rPr>
            </w:pPr>
          </w:p>
        </w:tc>
        <w:tc>
          <w:tcPr>
            <w:tcW w:w="2745" w:type="dxa"/>
            <w:tcBorders>
              <w:top w:val="nil"/>
              <w:left w:val="nil"/>
              <w:bottom w:val="single" w:color="auto" w:sz="8" w:space="0"/>
              <w:right w:val="single" w:color="auto" w:sz="8" w:space="0"/>
            </w:tcBorders>
            <w:shd w:val="clear"/>
            <w:tcMar>
              <w:left w:w="57" w:type="dxa"/>
              <w:right w:w="57" w:type="dxa"/>
            </w:tcMar>
            <w:vAlign w:val="top"/>
          </w:tcPr>
          <w:p w14:paraId="2CA34F78">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4.无正当理由大量反复申请</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4DDFB5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861386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E115AB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F3BBC8C">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34499B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E2B724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141277E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60080F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2979C96C">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42F408B4">
            <w:pPr>
              <w:jc w:val="center"/>
              <w:rPr>
                <w:rFonts w:hint="eastAsia" w:ascii="宋体"/>
                <w:sz w:val="24"/>
                <w:szCs w:val="24"/>
              </w:rPr>
            </w:pPr>
          </w:p>
        </w:tc>
        <w:tc>
          <w:tcPr>
            <w:tcW w:w="2745" w:type="dxa"/>
            <w:tcBorders>
              <w:top w:val="nil"/>
              <w:left w:val="nil"/>
              <w:bottom w:val="outset" w:color="auto" w:sz="8" w:space="0"/>
              <w:right w:val="single" w:color="auto" w:sz="8" w:space="0"/>
            </w:tcBorders>
            <w:shd w:val="clear"/>
            <w:tcMar>
              <w:left w:w="57" w:type="dxa"/>
              <w:right w:w="57" w:type="dxa"/>
            </w:tcMar>
            <w:vAlign w:val="center"/>
          </w:tcPr>
          <w:p w14:paraId="29A0AEFF">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5.要求行政机关确认或重新出具已获取信息</w:t>
            </w:r>
          </w:p>
        </w:tc>
        <w:tc>
          <w:tcPr>
            <w:tcW w:w="630" w:type="dxa"/>
            <w:tcBorders>
              <w:top w:val="nil"/>
              <w:left w:val="nil"/>
              <w:bottom w:val="outset" w:color="auto" w:sz="8" w:space="0"/>
              <w:right w:val="single" w:color="auto" w:sz="8" w:space="0"/>
            </w:tcBorders>
            <w:shd w:val="clear"/>
            <w:tcMar>
              <w:left w:w="57" w:type="dxa"/>
              <w:right w:w="57" w:type="dxa"/>
            </w:tcMar>
            <w:vAlign w:val="center"/>
          </w:tcPr>
          <w:p w14:paraId="154BFFB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outset" w:color="auto" w:sz="8" w:space="0"/>
              <w:right w:val="single" w:color="auto" w:sz="8" w:space="0"/>
            </w:tcBorders>
            <w:shd w:val="clear"/>
            <w:tcMar>
              <w:left w:w="57" w:type="dxa"/>
              <w:right w:w="57" w:type="dxa"/>
            </w:tcMar>
            <w:vAlign w:val="center"/>
          </w:tcPr>
          <w:p w14:paraId="469A695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outset" w:color="auto" w:sz="8" w:space="0"/>
              <w:right w:val="single" w:color="auto" w:sz="8" w:space="0"/>
            </w:tcBorders>
            <w:shd w:val="clear"/>
            <w:tcMar>
              <w:left w:w="57" w:type="dxa"/>
              <w:right w:w="57" w:type="dxa"/>
            </w:tcMar>
            <w:vAlign w:val="center"/>
          </w:tcPr>
          <w:p w14:paraId="1C689AFB">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outset" w:color="auto" w:sz="8" w:space="0"/>
              <w:right w:val="single" w:color="auto" w:sz="8" w:space="0"/>
            </w:tcBorders>
            <w:shd w:val="clear"/>
            <w:tcMar>
              <w:left w:w="57" w:type="dxa"/>
              <w:right w:w="57" w:type="dxa"/>
            </w:tcMar>
            <w:vAlign w:val="center"/>
          </w:tcPr>
          <w:p w14:paraId="76D16DD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outset" w:color="auto" w:sz="8" w:space="0"/>
              <w:right w:val="single" w:color="auto" w:sz="8" w:space="0"/>
            </w:tcBorders>
            <w:shd w:val="clear"/>
            <w:tcMar>
              <w:left w:w="57" w:type="dxa"/>
              <w:right w:w="57" w:type="dxa"/>
            </w:tcMar>
            <w:vAlign w:val="center"/>
          </w:tcPr>
          <w:p w14:paraId="5427EE3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outset" w:color="auto" w:sz="8" w:space="0"/>
              <w:right w:val="single" w:color="auto" w:sz="8" w:space="0"/>
            </w:tcBorders>
            <w:shd w:val="clear"/>
            <w:tcMar>
              <w:left w:w="57" w:type="dxa"/>
              <w:right w:w="57" w:type="dxa"/>
            </w:tcMar>
            <w:vAlign w:val="center"/>
          </w:tcPr>
          <w:p w14:paraId="0549595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outset" w:color="auto" w:sz="8" w:space="0"/>
              <w:right w:val="single" w:color="auto" w:sz="8" w:space="0"/>
            </w:tcBorders>
            <w:shd w:val="clear"/>
            <w:tcMar>
              <w:left w:w="57" w:type="dxa"/>
              <w:right w:w="57" w:type="dxa"/>
            </w:tcMar>
            <w:vAlign w:val="top"/>
          </w:tcPr>
          <w:p w14:paraId="146480C3">
            <w:pPr>
              <w:keepNext w:val="0"/>
              <w:keepLines w:val="0"/>
              <w:widowControl/>
              <w:suppressLineNumbers w:val="0"/>
              <w:spacing w:before="0" w:beforeAutospacing="0" w:after="0" w:afterAutospacing="0" w:line="38" w:lineRule="atLeast"/>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w:t>
            </w:r>
          </w:p>
        </w:tc>
      </w:tr>
      <w:tr w14:paraId="0B4ABD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2666465">
            <w:pPr>
              <w:jc w:val="center"/>
              <w:rPr>
                <w:rFonts w:hint="eastAsia" w:ascii="宋体"/>
                <w:sz w:val="24"/>
                <w:szCs w:val="24"/>
              </w:rPr>
            </w:pPr>
          </w:p>
        </w:tc>
        <w:tc>
          <w:tcPr>
            <w:tcW w:w="915" w:type="dxa"/>
            <w:vMerge w:val="restart"/>
            <w:tcBorders>
              <w:top w:val="nil"/>
              <w:left w:val="nil"/>
              <w:bottom w:val="outset" w:color="auto" w:sz="8" w:space="0"/>
              <w:right w:val="single" w:color="auto" w:sz="8" w:space="0"/>
            </w:tcBorders>
            <w:shd w:val="clear"/>
            <w:tcMar>
              <w:left w:w="57" w:type="dxa"/>
              <w:right w:w="57" w:type="dxa"/>
            </w:tcMar>
            <w:vAlign w:val="center"/>
          </w:tcPr>
          <w:p w14:paraId="381B4E8B">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（六）其他处理</w:t>
            </w:r>
          </w:p>
        </w:tc>
        <w:tc>
          <w:tcPr>
            <w:tcW w:w="2760" w:type="dxa"/>
            <w:tcBorders>
              <w:top w:val="nil"/>
              <w:left w:val="nil"/>
              <w:bottom w:val="single" w:color="auto" w:sz="8" w:space="0"/>
              <w:right w:val="single" w:color="auto" w:sz="8" w:space="0"/>
            </w:tcBorders>
            <w:shd w:val="clear"/>
            <w:tcMar>
              <w:left w:w="57" w:type="dxa"/>
              <w:right w:w="57" w:type="dxa"/>
            </w:tcMar>
            <w:vAlign w:val="center"/>
          </w:tcPr>
          <w:p w14:paraId="23F19933">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1.申请人无正当理由逾期不补正、行政机关不再处理其政府信息公开申请</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B8BAB5C">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8BCDF2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4F6669C">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5BC2944">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0813C60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361B366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35DC240C">
            <w:pPr>
              <w:keepNext w:val="0"/>
              <w:keepLines w:val="0"/>
              <w:widowControl/>
              <w:suppressLineNumbers w:val="0"/>
              <w:spacing w:before="0" w:beforeAutospacing="0" w:after="0" w:afterAutospacing="0" w:line="45" w:lineRule="atLeast"/>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w:t>
            </w:r>
          </w:p>
        </w:tc>
      </w:tr>
      <w:tr w14:paraId="33F06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6A0716F9">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4875C5FE">
            <w:pPr>
              <w:jc w:val="center"/>
              <w:rPr>
                <w:rFonts w:hint="eastAsia" w:ascii="宋体"/>
                <w:sz w:val="24"/>
                <w:szCs w:val="24"/>
              </w:rPr>
            </w:pPr>
          </w:p>
        </w:tc>
        <w:tc>
          <w:tcPr>
            <w:tcW w:w="2760" w:type="dxa"/>
            <w:tcBorders>
              <w:top w:val="nil"/>
              <w:left w:val="nil"/>
              <w:bottom w:val="single" w:color="auto" w:sz="8" w:space="0"/>
              <w:right w:val="single" w:color="auto" w:sz="8" w:space="0"/>
            </w:tcBorders>
            <w:shd w:val="clear"/>
            <w:tcMar>
              <w:left w:w="57" w:type="dxa"/>
              <w:right w:w="57" w:type="dxa"/>
            </w:tcMar>
            <w:vAlign w:val="center"/>
          </w:tcPr>
          <w:p w14:paraId="2A53ED92">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2.申请人逾期未按收费通知要求缴纳费用、行政机关不再处理其政府信息公开申请</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B1A03ED">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2131420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4C62AEA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5EFCCCA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78B3A66E">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center"/>
          </w:tcPr>
          <w:p w14:paraId="6064BAF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30" w:type="dxa"/>
            <w:tcBorders>
              <w:top w:val="nil"/>
              <w:left w:val="nil"/>
              <w:bottom w:val="single" w:color="auto" w:sz="8" w:space="0"/>
              <w:right w:val="single" w:color="auto" w:sz="8" w:space="0"/>
            </w:tcBorders>
            <w:shd w:val="clear"/>
            <w:tcMar>
              <w:left w:w="57" w:type="dxa"/>
              <w:right w:w="57" w:type="dxa"/>
            </w:tcMar>
            <w:vAlign w:val="top"/>
          </w:tcPr>
          <w:p w14:paraId="1C046650">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w:t>
            </w:r>
          </w:p>
          <w:p w14:paraId="0640CE08">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33E22A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435019F8">
            <w:pPr>
              <w:jc w:val="center"/>
              <w:rPr>
                <w:rFonts w:hint="eastAsia" w:ascii="宋体"/>
                <w:sz w:val="24"/>
                <w:szCs w:val="24"/>
              </w:rPr>
            </w:pPr>
          </w:p>
        </w:tc>
        <w:tc>
          <w:tcPr>
            <w:tcW w:w="915" w:type="dxa"/>
            <w:vMerge w:val="continue"/>
            <w:tcBorders>
              <w:top w:val="nil"/>
              <w:left w:val="nil"/>
              <w:bottom w:val="outset" w:color="auto" w:sz="8" w:space="0"/>
              <w:right w:val="single" w:color="auto" w:sz="8" w:space="0"/>
            </w:tcBorders>
            <w:shd w:val="clear"/>
            <w:tcMar>
              <w:left w:w="57" w:type="dxa"/>
              <w:right w:w="57" w:type="dxa"/>
            </w:tcMar>
            <w:vAlign w:val="center"/>
          </w:tcPr>
          <w:p w14:paraId="2848535B">
            <w:pPr>
              <w:jc w:val="center"/>
              <w:rPr>
                <w:rFonts w:hint="eastAsia" w:ascii="宋体"/>
                <w:sz w:val="24"/>
                <w:szCs w:val="24"/>
              </w:rPr>
            </w:pPr>
          </w:p>
        </w:tc>
        <w:tc>
          <w:tcPr>
            <w:tcW w:w="2760" w:type="dxa"/>
            <w:tcBorders>
              <w:top w:val="nil"/>
              <w:left w:val="nil"/>
              <w:bottom w:val="single" w:color="auto" w:sz="8" w:space="0"/>
              <w:right w:val="single" w:color="auto" w:sz="8" w:space="0"/>
            </w:tcBorders>
            <w:shd w:val="clear"/>
            <w:tcMar>
              <w:left w:w="57" w:type="dxa"/>
              <w:right w:w="57" w:type="dxa"/>
            </w:tcMar>
            <w:vAlign w:val="center"/>
          </w:tcPr>
          <w:p w14:paraId="62FB1467">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3.其他</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6C5F16FB">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0D3B22DC">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7A5BE9D9">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32259132">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0 </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6507705C">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441E848F">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top"/>
          </w:tcPr>
          <w:p w14:paraId="13B2F26E">
            <w:pPr>
              <w:keepNext w:val="0"/>
              <w:keepLines w:val="0"/>
              <w:widowControl/>
              <w:suppressLineNumbers w:val="0"/>
              <w:spacing w:before="0" w:beforeAutospacing="0" w:after="0" w:afterAutospacing="0"/>
              <w:ind w:left="0" w:right="0"/>
              <w:jc w:val="center"/>
            </w:pPr>
            <w:r>
              <w:rPr>
                <w:rFonts w:hint="default" w:ascii="Calibri" w:hAnsi="Calibri" w:eastAsia="仿宋_GB2312" w:cs="Calibri"/>
                <w:kern w:val="0"/>
                <w:sz w:val="20"/>
                <w:szCs w:val="20"/>
                <w:u w:val="none"/>
                <w:bdr w:val="none" w:color="auto" w:sz="0" w:space="0"/>
                <w:lang w:val="en-US" w:eastAsia="zh-CN" w:bidi="ar"/>
              </w:rPr>
              <w:t> 0</w:t>
            </w:r>
          </w:p>
        </w:tc>
      </w:tr>
      <w:tr w14:paraId="7E3E23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35"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14:paraId="0E88E569">
            <w:pPr>
              <w:jc w:val="center"/>
              <w:rPr>
                <w:rFonts w:hint="eastAsia" w:ascii="宋体"/>
                <w:sz w:val="24"/>
                <w:szCs w:val="24"/>
              </w:rPr>
            </w:pPr>
          </w:p>
        </w:tc>
        <w:tc>
          <w:tcPr>
            <w:tcW w:w="3690" w:type="dxa"/>
            <w:gridSpan w:val="2"/>
            <w:tcBorders>
              <w:top w:val="nil"/>
              <w:left w:val="nil"/>
              <w:bottom w:val="single" w:color="auto" w:sz="8" w:space="0"/>
              <w:right w:val="single" w:color="auto" w:sz="8" w:space="0"/>
            </w:tcBorders>
            <w:shd w:val="clear"/>
            <w:tcMar>
              <w:left w:w="57" w:type="dxa"/>
              <w:right w:w="57" w:type="dxa"/>
            </w:tcMar>
            <w:vAlign w:val="center"/>
          </w:tcPr>
          <w:p w14:paraId="181BE48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（七）总计</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14449619">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715A33CF">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5029B88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007197B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6BBFB5A6">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center"/>
          </w:tcPr>
          <w:p w14:paraId="623E1D44">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45" w:type="dxa"/>
            <w:tcBorders>
              <w:top w:val="nil"/>
              <w:left w:val="nil"/>
              <w:bottom w:val="single" w:color="auto" w:sz="8" w:space="0"/>
              <w:right w:val="single" w:color="auto" w:sz="8" w:space="0"/>
            </w:tcBorders>
            <w:shd w:val="clear"/>
            <w:tcMar>
              <w:left w:w="57" w:type="dxa"/>
              <w:right w:w="57" w:type="dxa"/>
            </w:tcMar>
            <w:vAlign w:val="top"/>
          </w:tcPr>
          <w:p w14:paraId="4547AC6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r w14:paraId="1CC1EA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55"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61BC7121">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u w:val="none"/>
                <w:bdr w:val="none" w:color="auto" w:sz="0" w:space="0"/>
                <w:lang w:val="en-US" w:eastAsia="zh-CN" w:bidi="ar"/>
              </w:rPr>
              <w:t>四、结转下年度继续办理</w:t>
            </w:r>
          </w:p>
        </w:tc>
        <w:tc>
          <w:tcPr>
            <w:tcW w:w="660" w:type="dxa"/>
            <w:tcBorders>
              <w:top w:val="nil"/>
              <w:left w:val="nil"/>
              <w:bottom w:val="single" w:color="auto" w:sz="8" w:space="0"/>
              <w:right w:val="single" w:color="auto" w:sz="8" w:space="0"/>
            </w:tcBorders>
            <w:shd w:val="clear"/>
            <w:tcMar>
              <w:left w:w="57" w:type="dxa"/>
              <w:right w:w="57" w:type="dxa"/>
            </w:tcMar>
            <w:vAlign w:val="center"/>
          </w:tcPr>
          <w:p w14:paraId="0D030775">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75" w:type="dxa"/>
            <w:tcBorders>
              <w:top w:val="nil"/>
              <w:left w:val="nil"/>
              <w:bottom w:val="single" w:color="auto" w:sz="8" w:space="0"/>
              <w:right w:val="single" w:color="auto" w:sz="8" w:space="0"/>
            </w:tcBorders>
            <w:shd w:val="clear"/>
            <w:tcMar>
              <w:left w:w="57" w:type="dxa"/>
              <w:right w:w="57" w:type="dxa"/>
            </w:tcMar>
            <w:vAlign w:val="center"/>
          </w:tcPr>
          <w:p w14:paraId="1E54A70A">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75" w:type="dxa"/>
            <w:tcBorders>
              <w:top w:val="nil"/>
              <w:left w:val="nil"/>
              <w:bottom w:val="single" w:color="auto" w:sz="8" w:space="0"/>
              <w:right w:val="single" w:color="auto" w:sz="8" w:space="0"/>
            </w:tcBorders>
            <w:shd w:val="clear"/>
            <w:tcMar>
              <w:left w:w="57" w:type="dxa"/>
              <w:right w:w="57" w:type="dxa"/>
            </w:tcMar>
            <w:vAlign w:val="center"/>
          </w:tcPr>
          <w:p w14:paraId="165A75A2">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75" w:type="dxa"/>
            <w:tcBorders>
              <w:top w:val="nil"/>
              <w:left w:val="nil"/>
              <w:bottom w:val="single" w:color="auto" w:sz="8" w:space="0"/>
              <w:right w:val="single" w:color="auto" w:sz="8" w:space="0"/>
            </w:tcBorders>
            <w:shd w:val="clear"/>
            <w:tcMar>
              <w:left w:w="57" w:type="dxa"/>
              <w:right w:w="57" w:type="dxa"/>
            </w:tcMar>
            <w:vAlign w:val="center"/>
          </w:tcPr>
          <w:p w14:paraId="20FDFF93">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0 </w:t>
            </w:r>
          </w:p>
        </w:tc>
        <w:tc>
          <w:tcPr>
            <w:tcW w:w="675" w:type="dxa"/>
            <w:tcBorders>
              <w:top w:val="nil"/>
              <w:left w:val="nil"/>
              <w:bottom w:val="single" w:color="auto" w:sz="8" w:space="0"/>
              <w:right w:val="single" w:color="auto" w:sz="8" w:space="0"/>
            </w:tcBorders>
            <w:shd w:val="clear"/>
            <w:tcMar>
              <w:left w:w="57" w:type="dxa"/>
              <w:right w:w="57" w:type="dxa"/>
            </w:tcMar>
            <w:vAlign w:val="center"/>
          </w:tcPr>
          <w:p w14:paraId="706EE2B1">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75" w:type="dxa"/>
            <w:tcBorders>
              <w:top w:val="nil"/>
              <w:left w:val="nil"/>
              <w:bottom w:val="single" w:color="auto" w:sz="8" w:space="0"/>
              <w:right w:val="single" w:color="auto" w:sz="8" w:space="0"/>
            </w:tcBorders>
            <w:shd w:val="clear"/>
            <w:tcMar>
              <w:left w:w="57" w:type="dxa"/>
              <w:right w:w="57" w:type="dxa"/>
            </w:tcMar>
            <w:vAlign w:val="center"/>
          </w:tcPr>
          <w:p w14:paraId="1D0D5C64">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c>
          <w:tcPr>
            <w:tcW w:w="675" w:type="dxa"/>
            <w:tcBorders>
              <w:top w:val="nil"/>
              <w:left w:val="nil"/>
              <w:bottom w:val="single" w:color="auto" w:sz="8" w:space="0"/>
              <w:right w:val="single" w:color="auto" w:sz="8" w:space="0"/>
            </w:tcBorders>
            <w:shd w:val="clear"/>
            <w:tcMar>
              <w:left w:w="57" w:type="dxa"/>
              <w:right w:w="57" w:type="dxa"/>
            </w:tcMar>
            <w:vAlign w:val="top"/>
          </w:tcPr>
          <w:p w14:paraId="200F9F27">
            <w:pPr>
              <w:keepNext w:val="0"/>
              <w:keepLines w:val="0"/>
              <w:widowControl/>
              <w:suppressLineNumbers w:val="0"/>
              <w:spacing w:before="0" w:beforeAutospacing="0" w:after="0" w:afterAutospacing="0"/>
              <w:ind w:left="0" w:leftChars="0" w:right="0" w:rightChars="0"/>
              <w:jc w:val="center"/>
            </w:pPr>
            <w:r>
              <w:rPr>
                <w:rFonts w:hint="default" w:ascii="Calibri" w:hAnsi="Calibri" w:eastAsia="仿宋_GB2312" w:cs="Calibri"/>
                <w:kern w:val="0"/>
                <w:sz w:val="20"/>
                <w:szCs w:val="20"/>
                <w:u w:val="none"/>
                <w:bdr w:val="none" w:color="auto" w:sz="0" w:space="0"/>
                <w:lang w:val="en-US" w:eastAsia="zh-CN" w:bidi="ar"/>
              </w:rPr>
              <w:t> 0</w:t>
            </w:r>
          </w:p>
        </w:tc>
      </w:tr>
    </w:tbl>
    <w:p w14:paraId="6C099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pPr>
      <w:r>
        <w:rPr>
          <w:rFonts w:hint="eastAsia" w:ascii="宋体" w:hAnsi="宋体" w:eastAsia="宋体" w:cs="宋体"/>
          <w:i w:val="0"/>
          <w:caps w:val="0"/>
          <w:color w:val="333333"/>
          <w:spacing w:val="0"/>
          <w:kern w:val="0"/>
          <w:sz w:val="24"/>
          <w:szCs w:val="24"/>
          <w:bdr w:val="none" w:color="auto" w:sz="0" w:space="0"/>
          <w:shd w:val="clear" w:fill="FFFFFF"/>
        </w:rPr>
        <w:t xml:space="preserve">  </w:t>
      </w:r>
      <w:r>
        <w:rPr>
          <w:rFonts w:hint="eastAsia" w:ascii="黑体" w:hAnsi="宋体" w:eastAsia="黑体" w:cs="黑体"/>
          <w:spacing w:val="0"/>
          <w:sz w:val="32"/>
          <w:szCs w:val="32"/>
          <w:bdr w:val="none" w:color="auto" w:sz="0" w:space="0"/>
          <w:shd w:val="clear" w:fill="FFFFFF"/>
        </w:rPr>
        <w:t>四、政府信息公开行政复议、行政诉讼情况</w:t>
      </w:r>
      <w:r>
        <w:rPr>
          <w:spacing w:val="0"/>
          <w:sz w:val="24"/>
          <w:szCs w:val="24"/>
          <w:bdr w:val="none" w:color="auto" w:sz="0" w:space="0"/>
          <w:shd w:val="clear" w:fill="FFFFFF"/>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146106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3C1C3A4">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6D799795">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行政诉讼</w:t>
            </w:r>
          </w:p>
        </w:tc>
      </w:tr>
      <w:tr w14:paraId="29B3FF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0609D9D">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结果维持</w:t>
            </w:r>
          </w:p>
        </w:tc>
        <w:tc>
          <w:tcPr>
            <w:tcW w:w="649" w:type="dxa"/>
            <w:vMerge w:val="restart"/>
            <w:tcBorders>
              <w:top w:val="nil"/>
              <w:left w:val="nil"/>
              <w:bottom w:val="single" w:color="auto" w:sz="8" w:space="0"/>
              <w:right w:val="single" w:color="auto" w:sz="8" w:space="0"/>
            </w:tcBorders>
            <w:shd w:val="clear"/>
            <w:tcMar>
              <w:left w:w="108" w:type="dxa"/>
              <w:right w:w="108" w:type="dxa"/>
            </w:tcMar>
            <w:vAlign w:val="center"/>
          </w:tcPr>
          <w:p w14:paraId="4881B7C2">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p w14:paraId="5650C93B">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6E439139">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其他</w:t>
            </w:r>
          </w:p>
          <w:p w14:paraId="78307C07">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7C7411C1">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尚未</w:t>
            </w:r>
          </w:p>
          <w:p w14:paraId="4123E354">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75BADC0A">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0E40EAF3">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4EE4464A">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复议后起诉</w:t>
            </w:r>
          </w:p>
        </w:tc>
      </w:tr>
      <w:tr w14:paraId="50D56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7D3F6DA">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left w:w="108" w:type="dxa"/>
              <w:right w:w="108" w:type="dxa"/>
            </w:tcMar>
            <w:vAlign w:val="center"/>
          </w:tcPr>
          <w:p w14:paraId="157D48E2">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2ED4974A">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68D2158">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433FD4EF">
            <w:pPr>
              <w:rPr>
                <w:rFonts w:hint="eastAsia" w:ascii="宋体"/>
                <w:sz w:val="24"/>
                <w:szCs w:val="24"/>
              </w:rPr>
            </w:pP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3B693130">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p w14:paraId="6339A841">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7C9313A2">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p w14:paraId="66209C5F">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B2C1B40">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其他</w:t>
            </w:r>
          </w:p>
          <w:p w14:paraId="617C4043">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D0FA15D">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尚未</w:t>
            </w:r>
          </w:p>
          <w:p w14:paraId="7191F63F">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84AFBA8">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kern w:val="0"/>
                <w:sz w:val="20"/>
                <w:szCs w:val="20"/>
                <w:u w:val="none"/>
                <w:bdr w:val="none" w:color="auto" w:sz="0" w:space="0"/>
                <w:lang w:val="en-US" w:eastAsia="zh-CN" w:bidi="ar"/>
              </w:rPr>
              <w:t>总计</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AA3F9CC">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p w14:paraId="04EEF468">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维持</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F8751DE">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结果</w:t>
            </w:r>
          </w:p>
          <w:p w14:paraId="743E7519">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C8FCA7B">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kern w:val="0"/>
                <w:sz w:val="20"/>
                <w:szCs w:val="20"/>
                <w:u w:val="none"/>
                <w:bdr w:val="none" w:color="auto" w:sz="0" w:space="0"/>
                <w:lang w:val="en-US" w:eastAsia="zh-CN" w:bidi="ar"/>
              </w:rPr>
              <w:t>其他</w:t>
            </w:r>
          </w:p>
          <w:p w14:paraId="63AE0248">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kern w:val="0"/>
                <w:sz w:val="20"/>
                <w:szCs w:val="20"/>
                <w:u w:val="none"/>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1581A44">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尚未</w:t>
            </w:r>
          </w:p>
          <w:p w14:paraId="6BAE5FFC">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kern w:val="0"/>
                <w:sz w:val="20"/>
                <w:szCs w:val="20"/>
                <w:u w:val="none"/>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AF28E72">
            <w:pPr>
              <w:keepNext w:val="0"/>
              <w:keepLines w:val="0"/>
              <w:widowControl/>
              <w:suppressLineNumbers w:val="0"/>
              <w:spacing w:before="0" w:beforeAutospacing="0" w:after="0" w:afterAutospacing="0"/>
              <w:ind w:left="0" w:right="0" w:firstLine="0"/>
              <w:jc w:val="center"/>
            </w:pPr>
            <w:r>
              <w:rPr>
                <w:rFonts w:hint="eastAsia" w:ascii="宋体" w:hAnsi="宋体" w:eastAsia="宋体" w:cs="宋体"/>
                <w:color w:val="000000"/>
                <w:kern w:val="0"/>
                <w:sz w:val="20"/>
                <w:szCs w:val="20"/>
                <w:u w:val="none"/>
                <w:bdr w:val="none" w:color="auto" w:sz="0" w:space="0"/>
                <w:lang w:val="en-US" w:eastAsia="zh-CN" w:bidi="ar"/>
              </w:rPr>
              <w:t>总计</w:t>
            </w:r>
          </w:p>
        </w:tc>
      </w:tr>
      <w:tr w14:paraId="74A33D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E8FD459">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1864757E">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13B9DDCF">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64E277B1">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615623A3">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3E4ECA99">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17E4D7E9">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09377B54">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6759C661">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6C9BC24A">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1BEB637E">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32D66F4A">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2DE47FD7">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64B039B0">
            <w:pPr>
              <w:keepNext w:val="0"/>
              <w:keepLines w:val="0"/>
              <w:widowControl/>
              <w:suppressLineNumbers w:val="0"/>
              <w:spacing w:before="0" w:beforeAutospacing="0" w:after="0" w:afterAutospacing="0"/>
              <w:ind w:left="0" w:right="0" w:firstLine="0"/>
              <w:jc w:val="center"/>
            </w:pPr>
            <w:r>
              <w:rPr>
                <w:rFonts w:hint="eastAsia" w:ascii="黑体" w:hAnsi="宋体" w:eastAsia="黑体" w:cs="黑体"/>
                <w:kern w:val="0"/>
                <w:sz w:val="20"/>
                <w:szCs w:val="20"/>
                <w:u w:val="none"/>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4FBC10C2">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0"/>
                <w:sz w:val="20"/>
                <w:szCs w:val="20"/>
                <w:u w:val="none"/>
                <w:bdr w:val="none" w:color="auto" w:sz="0" w:space="0"/>
                <w:lang w:val="en-US" w:eastAsia="zh-CN" w:bidi="ar"/>
              </w:rPr>
              <w:t>0</w:t>
            </w:r>
          </w:p>
        </w:tc>
      </w:tr>
    </w:tbl>
    <w:p w14:paraId="6DB8ABD7">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黑体" w:hAnsi="宋体" w:eastAsia="黑体" w:cs="黑体"/>
          <w:i w:val="0"/>
          <w:iCs w:val="0"/>
          <w:caps w:val="0"/>
          <w:color w:val="333333"/>
          <w:spacing w:val="0"/>
          <w:kern w:val="0"/>
          <w:sz w:val="32"/>
          <w:szCs w:val="32"/>
          <w:bdr w:val="none" w:color="auto" w:sz="0" w:space="0"/>
          <w:shd w:val="clear" w:fill="FFFFFF"/>
        </w:rPr>
        <w:t>五、存在的主要问题及改进情况</w:t>
      </w:r>
    </w:p>
    <w:p w14:paraId="3D1F0B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i w:val="0"/>
          <w:iCs w:val="0"/>
          <w:caps w:val="0"/>
          <w:color w:val="282828"/>
          <w:spacing w:val="0"/>
          <w:kern w:val="0"/>
          <w:sz w:val="32"/>
          <w:szCs w:val="32"/>
          <w:bdr w:val="none" w:color="auto" w:sz="0" w:space="0"/>
          <w:shd w:val="clear" w:fill="FFFFFF"/>
        </w:rPr>
        <w:t>当前，我乡在推进政务公开方面取得了明显的成效，但也存在一些问题：一是部分政务公开信息的时效性不够强，流于形式，公开的内容不全面、不够及时;二是政策解读、回应关切和公众参与有待进一步加强，如政策解读形式不够丰富，回应关切方式单一，公众参与不够规范等。</w:t>
      </w:r>
    </w:p>
    <w:p w14:paraId="21E6A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pPr>
      <w:r>
        <w:rPr>
          <w:rFonts w:hint="eastAsia" w:ascii="仿宋_GB2312" w:eastAsia="仿宋_GB2312" w:cs="仿宋_GB2312"/>
          <w:i w:val="0"/>
          <w:iCs w:val="0"/>
          <w:caps w:val="0"/>
          <w:color w:val="282828"/>
          <w:spacing w:val="0"/>
          <w:kern w:val="0"/>
          <w:sz w:val="32"/>
          <w:szCs w:val="32"/>
          <w:bdr w:val="none" w:color="auto" w:sz="0" w:space="0"/>
          <w:shd w:val="clear" w:fill="FFFFFF"/>
        </w:rPr>
        <w:t>下一步，我乡将加强对政务公开工作的领导和监督，健全检查制度、责任追究制度，反馈制度，确保把政务公开工作落到实处。加强对政务公开工作人员进行专职培训，提升政务公开工作的时效性。同时，规范和完善政务公开的内容、形式，对涉及人民群众关心的重大问题，重大决策应及时公开。</w:t>
      </w:r>
    </w:p>
    <w:p w14:paraId="2027C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pPr>
      <w:r>
        <w:rPr>
          <w:rFonts w:hint="eastAsia" w:ascii="黑体" w:hAnsi="宋体" w:eastAsia="黑体" w:cs="黑体"/>
          <w:i w:val="0"/>
          <w:iCs w:val="0"/>
          <w:caps w:val="0"/>
          <w:color w:val="333333"/>
          <w:spacing w:val="0"/>
          <w:kern w:val="0"/>
          <w:sz w:val="32"/>
          <w:szCs w:val="32"/>
          <w:bdr w:val="none" w:color="auto" w:sz="0" w:space="0"/>
          <w:shd w:val="clear" w:fill="FFFFFF"/>
        </w:rPr>
        <w:t>六、其他需要报告的事项</w:t>
      </w:r>
    </w:p>
    <w:p w14:paraId="4D449532">
      <w:pPr>
        <w:keepNext w:val="0"/>
        <w:keepLines w:val="0"/>
        <w:widowControl/>
        <w:suppressLineNumbers w:val="0"/>
        <w:spacing w:before="0" w:beforeAutospacing="1" w:after="0" w:afterAutospacing="1"/>
        <w:ind w:left="0" w:right="0"/>
        <w:jc w:val="left"/>
      </w:pPr>
      <w:r>
        <w:rPr>
          <w:rFonts w:hint="eastAsia" w:ascii="仿宋_GB2312" w:hAnsi="Tahoma" w:eastAsia="仿宋_GB2312" w:cs="仿宋_GB2312"/>
          <w:i w:val="0"/>
          <w:iCs w:val="0"/>
          <w:caps w:val="0"/>
          <w:color w:val="282828"/>
          <w:spacing w:val="0"/>
          <w:kern w:val="2"/>
          <w:sz w:val="32"/>
          <w:szCs w:val="32"/>
          <w:u w:val="none"/>
          <w:shd w:val="clear" w:fill="FFFFFF"/>
          <w:lang w:val="en-US" w:eastAsia="zh-CN" w:bidi="ar"/>
        </w:rPr>
        <w:t>按照《国务院办公厅关于印发〈政府信息公开信息处理费管理办法〉的通知》（国办函〔2020〕109号）规定的按件、按量收费标准，本年度没有产生信息公开处理费。</w:t>
      </w:r>
    </w:p>
    <w:p w14:paraId="2C4E7A23">
      <w:pPr>
        <w:jc w:val="center"/>
        <w:rPr>
          <w:rFonts w:hint="eastAsia" w:ascii="方正小标宋简体" w:hAnsi="方正小标宋简体" w:eastAsia="方正小标宋简体" w:cs="方正小标宋简体"/>
          <w:sz w:val="44"/>
          <w:szCs w:val="4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zlmMTQ1NGE3NzU1ZWNmYWNiNmI3YmE3OTgxNzgifQ=="/>
  </w:docVars>
  <w:rsids>
    <w:rsidRoot w:val="6FDF23E4"/>
    <w:rsid w:val="102B66E4"/>
    <w:rsid w:val="4F4C3B33"/>
    <w:rsid w:val="5F604F0C"/>
    <w:rsid w:val="6FD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_GB2312" w:cstheme="minorBidi"/>
      <w:sz w:val="32"/>
      <w:szCs w:val="36"/>
      <w:u w:val="none"/>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Words>
  <Characters>26</Characters>
  <Lines>0</Lines>
  <Paragraphs>0</Paragraphs>
  <TotalTime>2</TotalTime>
  <ScaleCrop>false</ScaleCrop>
  <LinksUpToDate>false</LinksUpToDate>
  <CharactersWithSpaces>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2024-07-03T09:01:00Z</dcterms:created>
  <dc:creator>HypnosL</dc:creator>
  <cp:lastModifiedBy>HypnosL</cp:lastModifiedBy>
  <dcterms:modified xsi:type="dcterms:W3CDTF">2024-07-03T09:03:39Z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85CB80CEAC4D4688B1447F7C9E16E51E_11</vt:lpwstr>
  </property>
</Properties>
</file>