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41" w:beforeAutospacing="0" w:after="141" w:afterAutospacing="0" w:line="720" w:lineRule="atLeast"/>
        <w:ind w:left="0" w:right="0" w:firstLine="0"/>
        <w:jc w:val="center"/>
        <w:rPr>
          <w:rFonts w:hint="eastAsia" w:ascii="微软雅黑" w:hAnsi="微软雅黑" w:eastAsia="微软雅黑" w:cs="微软雅黑"/>
          <w:b w:val="0"/>
          <w:bCs w:val="0"/>
          <w:i w:val="0"/>
          <w:iCs w:val="0"/>
          <w:caps w:val="0"/>
          <w:color w:val="000000"/>
          <w:spacing w:val="0"/>
          <w:sz w:val="45"/>
          <w:szCs w:val="45"/>
          <w:bdr w:val="none" w:color="auto" w:sz="0" w:space="0"/>
          <w:shd w:val="clear" w:fill="FFFFFF"/>
        </w:rPr>
      </w:pPr>
      <w:r>
        <w:rPr>
          <w:rFonts w:hint="eastAsia" w:ascii="微软雅黑" w:hAnsi="微软雅黑" w:eastAsia="微软雅黑" w:cs="微软雅黑"/>
          <w:b w:val="0"/>
          <w:bCs w:val="0"/>
          <w:i w:val="0"/>
          <w:iCs w:val="0"/>
          <w:caps w:val="0"/>
          <w:color w:val="000000"/>
          <w:spacing w:val="0"/>
          <w:sz w:val="45"/>
          <w:szCs w:val="45"/>
          <w:bdr w:val="none" w:color="auto" w:sz="0" w:space="0"/>
          <w:shd w:val="clear" w:fill="FFFFFF"/>
        </w:rPr>
        <w:t>金寨县退役军人事务局202</w:t>
      </w:r>
      <w:r>
        <w:rPr>
          <w:rFonts w:hint="eastAsia" w:ascii="微软雅黑" w:hAnsi="微软雅黑" w:eastAsia="微软雅黑" w:cs="微软雅黑"/>
          <w:b w:val="0"/>
          <w:bCs w:val="0"/>
          <w:i w:val="0"/>
          <w:iCs w:val="0"/>
          <w:caps w:val="0"/>
          <w:color w:val="000000"/>
          <w:spacing w:val="0"/>
          <w:sz w:val="45"/>
          <w:szCs w:val="45"/>
          <w:bdr w:val="none" w:color="auto" w:sz="0" w:space="0"/>
          <w:shd w:val="clear" w:fill="FFFFFF"/>
          <w:lang w:val="en-US" w:eastAsia="zh-CN"/>
        </w:rPr>
        <w:t>1</w:t>
      </w:r>
      <w:r>
        <w:rPr>
          <w:rFonts w:hint="eastAsia" w:ascii="微软雅黑" w:hAnsi="微软雅黑" w:eastAsia="微软雅黑" w:cs="微软雅黑"/>
          <w:b w:val="0"/>
          <w:bCs w:val="0"/>
          <w:i w:val="0"/>
          <w:iCs w:val="0"/>
          <w:caps w:val="0"/>
          <w:color w:val="000000"/>
          <w:spacing w:val="0"/>
          <w:sz w:val="45"/>
          <w:szCs w:val="45"/>
          <w:bdr w:val="none" w:color="auto" w:sz="0" w:space="0"/>
          <w:shd w:val="clear" w:fill="FFFFFF"/>
        </w:rPr>
        <w:t>年政府信息公开工作年度报告</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ascii="微软雅黑" w:hAnsi="微软雅黑" w:eastAsia="微软雅黑" w:cs="微软雅黑"/>
          <w:i w:val="0"/>
          <w:iCs w:val="0"/>
          <w:caps w:val="0"/>
          <w:color w:val="333333"/>
          <w:spacing w:val="0"/>
          <w:sz w:val="21"/>
          <w:szCs w:val="21"/>
        </w:rPr>
      </w:pPr>
      <w:r>
        <w:rPr>
          <w:rFonts w:ascii="仿宋_GB2312" w:hAnsi="微软雅黑" w:eastAsia="仿宋_GB2312" w:cs="仿宋_GB2312"/>
          <w:i w:val="0"/>
          <w:iCs w:val="0"/>
          <w:caps w:val="0"/>
          <w:color w:val="000000"/>
          <w:spacing w:val="0"/>
          <w:kern w:val="0"/>
          <w:sz w:val="32"/>
          <w:szCs w:val="32"/>
          <w:bdr w:val="none" w:color="auto" w:sz="0" w:space="0"/>
          <w:shd w:val="clear" w:fill="FFFFFF"/>
          <w:lang w:val="en-US" w:eastAsia="zh-CN" w:bidi="ar"/>
        </w:rPr>
        <w:t>本报告依据《中华人民共和国政府信息公开条例》（国务院令第</w:t>
      </w:r>
      <w:r>
        <w:rPr>
          <w:rFonts w:hint="eastAsia" w:ascii="仿宋_GB2312" w:hAnsi="微软雅黑" w:eastAsia="仿宋_GB2312" w:cs="仿宋_GB2312"/>
          <w:i w:val="0"/>
          <w:iCs w:val="0"/>
          <w:caps w:val="0"/>
          <w:color w:val="000000"/>
          <w:spacing w:val="0"/>
          <w:kern w:val="0"/>
          <w:sz w:val="32"/>
          <w:szCs w:val="32"/>
          <w:bdr w:val="none" w:color="auto" w:sz="0" w:space="0"/>
          <w:shd w:val="clear" w:fill="FFFFFF"/>
          <w:lang w:val="en-US" w:eastAsia="zh-CN" w:bidi="ar"/>
        </w:rPr>
        <w:t>711号，以下简称《条例》）和《金寨县</w:t>
      </w:r>
      <w:r>
        <w:rPr>
          <w:rFonts w:hint="eastAsia" w:ascii="仿宋_GB2312" w:hAnsi="微软雅黑" w:eastAsia="仿宋_GB2312" w:cs="仿宋_GB2312"/>
          <w:i w:val="0"/>
          <w:iCs w:val="0"/>
          <w:caps w:val="0"/>
          <w:color w:val="333333"/>
          <w:spacing w:val="0"/>
          <w:kern w:val="0"/>
          <w:sz w:val="32"/>
          <w:szCs w:val="32"/>
          <w:bdr w:val="none" w:color="auto" w:sz="0" w:space="0"/>
          <w:shd w:val="clear" w:fill="FFFFFF"/>
          <w:lang w:val="en-US" w:eastAsia="zh-CN" w:bidi="ar"/>
        </w:rPr>
        <w:t>政务公开办公室关于做好政府信息公开年度报告编制和发布工作的通知》（金政公开〔2021〕28号）要求编制而成</w:t>
      </w:r>
      <w:r>
        <w:rPr>
          <w:rFonts w:hint="eastAsia" w:ascii="仿宋_GB2312" w:hAnsi="微软雅黑" w:eastAsia="仿宋_GB2312" w:cs="仿宋_GB2312"/>
          <w:i w:val="0"/>
          <w:iCs w:val="0"/>
          <w:caps w:val="0"/>
          <w:color w:val="000000"/>
          <w:spacing w:val="0"/>
          <w:kern w:val="0"/>
          <w:sz w:val="32"/>
          <w:szCs w:val="32"/>
          <w:bdr w:val="none" w:color="auto" w:sz="0" w:space="0"/>
          <w:shd w:val="clear" w:fill="FFFFFF"/>
          <w:lang w:val="en-US" w:eastAsia="zh-CN" w:bidi="ar"/>
        </w:rPr>
        <w:t>。本报告由总体情况、主动公开政府信息情况、收到</w:t>
      </w:r>
      <w:bookmarkStart w:id="0" w:name="_GoBack"/>
      <w:bookmarkEnd w:id="0"/>
      <w:r>
        <w:rPr>
          <w:rFonts w:hint="eastAsia" w:ascii="仿宋_GB2312" w:hAnsi="微软雅黑" w:eastAsia="仿宋_GB2312" w:cs="仿宋_GB2312"/>
          <w:i w:val="0"/>
          <w:iCs w:val="0"/>
          <w:caps w:val="0"/>
          <w:color w:val="000000"/>
          <w:spacing w:val="0"/>
          <w:kern w:val="0"/>
          <w:sz w:val="32"/>
          <w:szCs w:val="32"/>
          <w:bdr w:val="none" w:color="auto" w:sz="0" w:space="0"/>
          <w:shd w:val="clear" w:fill="FFFFFF"/>
          <w:lang w:val="en-US" w:eastAsia="zh-CN" w:bidi="ar"/>
        </w:rPr>
        <w:t>和处理政府信息公开申请情况、政府信息公开行政复议和行政诉讼情况、存在的主要问题及改进情况、其他需要报告的事项共6个部分组成。本报告中使用数据统计期限为2021年1月1日至12月31日，报告的电子版可在金寨县信息公开网（http://www.ahjinzhai.gov.cn/public/index.html）下载。如对本报告有任何疑问，请与金寨县退役军人事务局办公室联系（地址：金寨县新城区江环北路桂花苑南区南门，电话：0564—2716801，邮编：237300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微软雅黑" w:hAnsi="微软雅黑" w:eastAsia="微软雅黑" w:cs="微软雅黑"/>
          <w:i w:val="0"/>
          <w:iCs w:val="0"/>
          <w:caps w:val="0"/>
          <w:color w:val="333333"/>
          <w:spacing w:val="0"/>
          <w:sz w:val="21"/>
          <w:szCs w:val="21"/>
        </w:rPr>
      </w:pPr>
      <w:r>
        <w:rPr>
          <w:rFonts w:ascii="黑体" w:hAnsi="宋体" w:eastAsia="黑体" w:cs="黑体"/>
          <w:i w:val="0"/>
          <w:iCs w:val="0"/>
          <w:caps w:val="0"/>
          <w:color w:val="000000"/>
          <w:spacing w:val="0"/>
          <w:kern w:val="0"/>
          <w:sz w:val="32"/>
          <w:szCs w:val="32"/>
          <w:bdr w:val="none" w:color="auto" w:sz="0" w:space="0"/>
          <w:shd w:val="clear" w:fill="FFFFFF"/>
          <w:lang w:val="en-US" w:eastAsia="zh-CN" w:bidi="ar"/>
        </w:rPr>
        <w:t>一、总体情况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微软雅黑" w:hAnsi="微软雅黑" w:eastAsia="微软雅黑" w:cs="微软雅黑"/>
          <w:i w:val="0"/>
          <w:iCs w:val="0"/>
          <w:caps w:val="0"/>
          <w:color w:val="333333"/>
          <w:spacing w:val="0"/>
          <w:sz w:val="21"/>
          <w:szCs w:val="21"/>
        </w:rPr>
      </w:pPr>
      <w:r>
        <w:rPr>
          <w:rFonts w:hint="eastAsia" w:ascii="仿宋_GB2312" w:hAnsi="微软雅黑" w:eastAsia="仿宋_GB2312" w:cs="仿宋_GB2312"/>
          <w:i w:val="0"/>
          <w:iCs w:val="0"/>
          <w:caps w:val="0"/>
          <w:color w:val="000000"/>
          <w:spacing w:val="0"/>
          <w:kern w:val="0"/>
          <w:sz w:val="32"/>
          <w:szCs w:val="32"/>
          <w:bdr w:val="none" w:color="auto" w:sz="0" w:space="0"/>
          <w:shd w:val="clear" w:fill="FFFFFF"/>
          <w:lang w:val="en-US" w:eastAsia="zh-CN" w:bidi="ar"/>
        </w:rPr>
        <w:t>2021年，金寨县退役军人事务局在县委、县政府的坚强领导下，在县政务公开办的指导下，认真贯彻落实全面推进政务公开工作的一系列部署要求，不断提高政务公开工作制度化、规范化、科学化、民主化，切实保障人民群众对退役军人工作的知情权、参与权、表达权和监督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微软雅黑" w:hAnsi="微软雅黑" w:eastAsia="微软雅黑" w:cs="微软雅黑"/>
          <w:i w:val="0"/>
          <w:iCs w:val="0"/>
          <w:caps w:val="0"/>
          <w:color w:val="333333"/>
          <w:spacing w:val="0"/>
          <w:sz w:val="21"/>
          <w:szCs w:val="21"/>
        </w:rPr>
      </w:pPr>
      <w:r>
        <w:rPr>
          <w:rFonts w:ascii="楷体_GB2312" w:hAnsi="微软雅黑" w:eastAsia="楷体_GB2312" w:cs="楷体_GB2312"/>
          <w:i w:val="0"/>
          <w:iCs w:val="0"/>
          <w:caps w:val="0"/>
          <w:color w:val="000000"/>
          <w:spacing w:val="0"/>
          <w:kern w:val="0"/>
          <w:sz w:val="32"/>
          <w:szCs w:val="32"/>
          <w:bdr w:val="none" w:color="auto" w:sz="0" w:space="0"/>
          <w:shd w:val="clear" w:fill="FFFFFF"/>
          <w:lang w:val="en-US" w:eastAsia="zh-CN" w:bidi="ar"/>
        </w:rPr>
        <w:t>（一）主动公开。</w:t>
      </w:r>
      <w:r>
        <w:rPr>
          <w:rFonts w:hint="eastAsia" w:ascii="仿宋_GB2312" w:hAnsi="微软雅黑" w:eastAsia="仿宋_GB2312" w:cs="仿宋_GB2312"/>
          <w:i w:val="0"/>
          <w:iCs w:val="0"/>
          <w:caps w:val="0"/>
          <w:color w:val="000000"/>
          <w:spacing w:val="0"/>
          <w:kern w:val="0"/>
          <w:sz w:val="32"/>
          <w:szCs w:val="32"/>
          <w:bdr w:val="none" w:color="auto" w:sz="0" w:space="0"/>
          <w:shd w:val="clear" w:fill="FFFFFF"/>
          <w:lang w:val="en-US" w:eastAsia="zh-CN" w:bidi="ar"/>
        </w:rPr>
        <w:t>2021年度我局主动公开各类信息221条，其政策法规15条，财政资金公开60条，行政权力运行25条，承担县政府办财政专项资金栏目、抚恤补助资金管理和使用情况共27条。2021年我局全面推进基层政务公开标准化和规范化，按照县政务公开办的要求，按时公开财政预决算，公开残疾人服务生活保障救助补贴以及证件办理及等级认定共18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微软雅黑" w:hAnsi="微软雅黑" w:eastAsia="微软雅黑" w:cs="微软雅黑"/>
          <w:i w:val="0"/>
          <w:iCs w:val="0"/>
          <w:caps w:val="0"/>
          <w:color w:val="333333"/>
          <w:spacing w:val="0"/>
          <w:sz w:val="21"/>
          <w:szCs w:val="21"/>
        </w:rPr>
      </w:pPr>
      <w:r>
        <w:rPr>
          <w:rFonts w:hint="eastAsia" w:ascii="楷体_GB2312" w:hAnsi="微软雅黑" w:eastAsia="楷体_GB2312" w:cs="楷体_GB2312"/>
          <w:i w:val="0"/>
          <w:iCs w:val="0"/>
          <w:caps w:val="0"/>
          <w:color w:val="000000"/>
          <w:spacing w:val="0"/>
          <w:kern w:val="0"/>
          <w:sz w:val="32"/>
          <w:szCs w:val="32"/>
          <w:bdr w:val="none" w:color="auto" w:sz="0" w:space="0"/>
          <w:shd w:val="clear" w:fill="FFFFFF"/>
          <w:lang w:val="en-US" w:eastAsia="zh-CN" w:bidi="ar"/>
        </w:rPr>
        <w:t>（二）依申请公开。</w:t>
      </w:r>
      <w:r>
        <w:rPr>
          <w:rFonts w:hint="eastAsia" w:ascii="仿宋_GB2312" w:hAnsi="微软雅黑" w:eastAsia="仿宋_GB2312" w:cs="仿宋_GB2312"/>
          <w:i w:val="0"/>
          <w:iCs w:val="0"/>
          <w:caps w:val="0"/>
          <w:color w:val="000000"/>
          <w:spacing w:val="0"/>
          <w:kern w:val="0"/>
          <w:sz w:val="32"/>
          <w:szCs w:val="32"/>
          <w:bdr w:val="none" w:color="auto" w:sz="0" w:space="0"/>
          <w:shd w:val="clear" w:fill="FFFFFF"/>
          <w:lang w:val="en-US" w:eastAsia="zh-CN" w:bidi="ar"/>
        </w:rPr>
        <w:t>2021年11月12日，参加县政务公开办公室举办的全市依申请平台数据迁移工作推进会培训班，严格执行政府工作信息依申请公开标准，对公开指南中的依申请内容进行修改完善，本年度未收到依申请公开件。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微软雅黑" w:hAnsi="微软雅黑" w:eastAsia="微软雅黑" w:cs="微软雅黑"/>
          <w:i w:val="0"/>
          <w:iCs w:val="0"/>
          <w:caps w:val="0"/>
          <w:color w:val="333333"/>
          <w:spacing w:val="0"/>
          <w:sz w:val="21"/>
          <w:szCs w:val="21"/>
        </w:rPr>
      </w:pPr>
      <w:r>
        <w:rPr>
          <w:rFonts w:hint="eastAsia" w:ascii="楷体_GB2312" w:hAnsi="微软雅黑" w:eastAsia="楷体_GB2312" w:cs="楷体_GB2312"/>
          <w:i w:val="0"/>
          <w:iCs w:val="0"/>
          <w:caps w:val="0"/>
          <w:color w:val="000000"/>
          <w:spacing w:val="0"/>
          <w:kern w:val="0"/>
          <w:sz w:val="32"/>
          <w:szCs w:val="32"/>
          <w:bdr w:val="none" w:color="auto" w:sz="0" w:space="0"/>
          <w:shd w:val="clear" w:fill="FFFFFF"/>
          <w:lang w:val="en-US" w:eastAsia="zh-CN" w:bidi="ar"/>
        </w:rPr>
        <w:t>（三）政府信息管理。</w:t>
      </w:r>
      <w:r>
        <w:rPr>
          <w:rFonts w:hint="eastAsia" w:ascii="仿宋_GB2312" w:hAnsi="微软雅黑" w:eastAsia="仿宋_GB2312" w:cs="仿宋_GB2312"/>
          <w:i w:val="0"/>
          <w:iCs w:val="0"/>
          <w:caps w:val="0"/>
          <w:color w:val="000000"/>
          <w:spacing w:val="0"/>
          <w:kern w:val="0"/>
          <w:sz w:val="32"/>
          <w:szCs w:val="32"/>
          <w:bdr w:val="none" w:color="auto" w:sz="0" w:space="0"/>
          <w:shd w:val="clear" w:fill="FFFFFF"/>
          <w:lang w:val="en-US" w:eastAsia="zh-CN" w:bidi="ar"/>
        </w:rPr>
        <w:t>我局认真贯彻落实县委县政府关于政府信息公开工作的部署和要求，把政务公开工作作为一项重点工作来抓落实。一</w:t>
      </w:r>
      <w:r>
        <w:rPr>
          <w:rFonts w:hint="eastAsia" w:ascii="仿宋_GB2312" w:hAnsi="微软雅黑" w:eastAsia="仿宋_GB2312" w:cs="仿宋_GB2312"/>
          <w:b/>
          <w:bCs/>
          <w:i w:val="0"/>
          <w:iCs w:val="0"/>
          <w:caps w:val="0"/>
          <w:color w:val="000000"/>
          <w:spacing w:val="0"/>
          <w:kern w:val="0"/>
          <w:sz w:val="32"/>
          <w:szCs w:val="32"/>
          <w:bdr w:val="none" w:color="auto" w:sz="0" w:space="0"/>
          <w:shd w:val="clear" w:fill="FFFFFF"/>
          <w:lang w:val="en-US" w:eastAsia="zh-CN" w:bidi="ar"/>
        </w:rPr>
        <w:t>是</w:t>
      </w:r>
      <w:r>
        <w:rPr>
          <w:rFonts w:hint="eastAsia" w:ascii="仿宋_GB2312" w:hAnsi="微软雅黑" w:eastAsia="仿宋_GB2312" w:cs="仿宋_GB2312"/>
          <w:i w:val="0"/>
          <w:iCs w:val="0"/>
          <w:caps w:val="0"/>
          <w:color w:val="000000"/>
          <w:spacing w:val="0"/>
          <w:kern w:val="0"/>
          <w:sz w:val="32"/>
          <w:szCs w:val="32"/>
          <w:bdr w:val="none" w:color="auto" w:sz="0" w:space="0"/>
          <w:shd w:val="clear" w:fill="FFFFFF"/>
          <w:lang w:val="en-US" w:eastAsia="zh-CN" w:bidi="ar"/>
        </w:rPr>
        <w:t>召开政务公开工作专项会议，研究和部署政务公开工作。严格落实政务公开的各项工作要求，做到了领导、机构、人员“三到位”，把政务公开工作分解到有关科室和人员，建立健全“主要领导亲自抓、分管领导具体抓、责任到科室、落实到人头”的工作机制；二</w:t>
      </w:r>
      <w:r>
        <w:rPr>
          <w:rFonts w:hint="eastAsia" w:ascii="仿宋_GB2312" w:hAnsi="微软雅黑" w:eastAsia="仿宋_GB2312" w:cs="仿宋_GB2312"/>
          <w:b/>
          <w:bCs/>
          <w:i w:val="0"/>
          <w:iCs w:val="0"/>
          <w:caps w:val="0"/>
          <w:color w:val="000000"/>
          <w:spacing w:val="0"/>
          <w:kern w:val="0"/>
          <w:sz w:val="32"/>
          <w:szCs w:val="32"/>
          <w:bdr w:val="none" w:color="auto" w:sz="0" w:space="0"/>
          <w:shd w:val="clear" w:fill="FFFFFF"/>
          <w:lang w:val="en-US" w:eastAsia="zh-CN" w:bidi="ar"/>
        </w:rPr>
        <w:t>是</w:t>
      </w:r>
      <w:r>
        <w:rPr>
          <w:rFonts w:hint="eastAsia" w:ascii="仿宋_GB2312" w:hAnsi="微软雅黑" w:eastAsia="仿宋_GB2312" w:cs="仿宋_GB2312"/>
          <w:i w:val="0"/>
          <w:iCs w:val="0"/>
          <w:caps w:val="0"/>
          <w:color w:val="000000"/>
          <w:spacing w:val="0"/>
          <w:kern w:val="0"/>
          <w:sz w:val="32"/>
          <w:szCs w:val="32"/>
          <w:bdr w:val="none" w:color="auto" w:sz="0" w:space="0"/>
          <w:shd w:val="clear" w:fill="FFFFFF"/>
          <w:lang w:val="en-US" w:eastAsia="zh-CN" w:bidi="ar"/>
        </w:rPr>
        <w:t>建章立制，严把审核。修订完善主动公开、依申请公开等12个政务公开相关制度，注重信息审核，实现政府信息归集管理。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微软雅黑" w:hAnsi="微软雅黑" w:eastAsia="微软雅黑" w:cs="微软雅黑"/>
          <w:i w:val="0"/>
          <w:iCs w:val="0"/>
          <w:caps w:val="0"/>
          <w:color w:val="333333"/>
          <w:spacing w:val="0"/>
          <w:sz w:val="21"/>
          <w:szCs w:val="21"/>
        </w:rPr>
      </w:pPr>
      <w:r>
        <w:rPr>
          <w:rFonts w:hint="eastAsia" w:ascii="楷体_GB2312" w:hAnsi="微软雅黑" w:eastAsia="楷体_GB2312" w:cs="楷体_GB2312"/>
          <w:i w:val="0"/>
          <w:iCs w:val="0"/>
          <w:caps w:val="0"/>
          <w:color w:val="000000"/>
          <w:spacing w:val="0"/>
          <w:kern w:val="0"/>
          <w:sz w:val="32"/>
          <w:szCs w:val="32"/>
          <w:bdr w:val="none" w:color="auto" w:sz="0" w:space="0"/>
          <w:shd w:val="clear" w:fill="FFFFFF"/>
          <w:lang w:val="en-US" w:eastAsia="zh-CN" w:bidi="ar"/>
        </w:rPr>
        <w:t>（四）政府信息公开平台建设。</w:t>
      </w:r>
      <w:r>
        <w:rPr>
          <w:rFonts w:hint="eastAsia" w:ascii="仿宋_GB2312" w:hAnsi="微软雅黑" w:eastAsia="仿宋_GB2312" w:cs="仿宋_GB2312"/>
          <w:i w:val="0"/>
          <w:iCs w:val="0"/>
          <w:caps w:val="0"/>
          <w:color w:val="000000"/>
          <w:spacing w:val="0"/>
          <w:kern w:val="0"/>
          <w:sz w:val="32"/>
          <w:szCs w:val="32"/>
          <w:bdr w:val="none" w:color="auto" w:sz="0" w:space="0"/>
          <w:shd w:val="clear" w:fill="FFFFFF"/>
          <w:lang w:val="en-US" w:eastAsia="zh-CN" w:bidi="ar"/>
        </w:rPr>
        <w:t>充分发挥部门政府网站在部门政府信息公开的第一平台作用，定期对平台栏目进行更新、维护，配合上级做好安全评估和审查工作。对县政务公开办及电子政务办反馈的监测问题清单，针对问题逐项整改并及时公开整改情况，促进政务公开工作走上制度化、规范化轨道。</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微软雅黑" w:hAnsi="微软雅黑" w:eastAsia="微软雅黑" w:cs="微软雅黑"/>
          <w:i w:val="0"/>
          <w:iCs w:val="0"/>
          <w:caps w:val="0"/>
          <w:color w:val="333333"/>
          <w:spacing w:val="0"/>
          <w:sz w:val="21"/>
          <w:szCs w:val="21"/>
        </w:rPr>
      </w:pPr>
      <w:r>
        <w:rPr>
          <w:rFonts w:hint="eastAsia" w:ascii="楷体_GB2312" w:hAnsi="微软雅黑" w:eastAsia="楷体_GB2312" w:cs="楷体_GB2312"/>
          <w:i w:val="0"/>
          <w:iCs w:val="0"/>
          <w:caps w:val="0"/>
          <w:color w:val="000000"/>
          <w:spacing w:val="0"/>
          <w:kern w:val="0"/>
          <w:sz w:val="32"/>
          <w:szCs w:val="32"/>
          <w:bdr w:val="none" w:color="auto" w:sz="0" w:space="0"/>
          <w:shd w:val="clear" w:fill="FFFFFF"/>
          <w:lang w:val="en-US" w:eastAsia="zh-CN" w:bidi="ar"/>
        </w:rPr>
        <w:t>（五）监督保障。</w:t>
      </w:r>
      <w:r>
        <w:rPr>
          <w:rFonts w:hint="eastAsia" w:ascii="仿宋_GB2312" w:hAnsi="微软雅黑" w:eastAsia="仿宋_GB2312" w:cs="仿宋_GB2312"/>
          <w:b/>
          <w:bCs/>
          <w:i w:val="0"/>
          <w:iCs w:val="0"/>
          <w:caps w:val="0"/>
          <w:color w:val="000000"/>
          <w:spacing w:val="0"/>
          <w:kern w:val="0"/>
          <w:sz w:val="32"/>
          <w:szCs w:val="32"/>
          <w:bdr w:val="none" w:color="auto" w:sz="0" w:space="0"/>
          <w:shd w:val="clear" w:fill="FFFFFF"/>
          <w:lang w:val="en-US" w:eastAsia="zh-CN" w:bidi="ar"/>
        </w:rPr>
        <w:t>一是</w:t>
      </w:r>
      <w:r>
        <w:rPr>
          <w:rFonts w:hint="eastAsia" w:ascii="仿宋_GB2312" w:hAnsi="微软雅黑" w:eastAsia="仿宋_GB2312" w:cs="仿宋_GB2312"/>
          <w:i w:val="0"/>
          <w:iCs w:val="0"/>
          <w:caps w:val="0"/>
          <w:color w:val="000000"/>
          <w:spacing w:val="0"/>
          <w:kern w:val="0"/>
          <w:sz w:val="32"/>
          <w:szCs w:val="32"/>
          <w:bdr w:val="none" w:color="auto" w:sz="0" w:space="0"/>
          <w:shd w:val="clear" w:fill="FFFFFF"/>
          <w:lang w:val="en-US" w:eastAsia="zh-CN" w:bidi="ar"/>
        </w:rPr>
        <w:t>明确任务，加强业务指导。将政务公开工作任务细化，明确责任，定期统计，确保政务公开信息及时、高质、准确发布。</w:t>
      </w:r>
      <w:r>
        <w:rPr>
          <w:rFonts w:hint="eastAsia" w:ascii="仿宋_GB2312" w:hAnsi="微软雅黑" w:eastAsia="仿宋_GB2312" w:cs="仿宋_GB2312"/>
          <w:b/>
          <w:bCs/>
          <w:i w:val="0"/>
          <w:iCs w:val="0"/>
          <w:caps w:val="0"/>
          <w:color w:val="000000"/>
          <w:spacing w:val="0"/>
          <w:kern w:val="0"/>
          <w:sz w:val="32"/>
          <w:szCs w:val="32"/>
          <w:bdr w:val="none" w:color="auto" w:sz="0" w:space="0"/>
          <w:shd w:val="clear" w:fill="FFFFFF"/>
          <w:lang w:val="en-US" w:eastAsia="zh-CN" w:bidi="ar"/>
        </w:rPr>
        <w:t>二是</w:t>
      </w:r>
      <w:r>
        <w:rPr>
          <w:rFonts w:hint="eastAsia" w:ascii="仿宋_GB2312" w:hAnsi="微软雅黑" w:eastAsia="仿宋_GB2312" w:cs="仿宋_GB2312"/>
          <w:i w:val="0"/>
          <w:iCs w:val="0"/>
          <w:caps w:val="0"/>
          <w:color w:val="000000"/>
          <w:spacing w:val="0"/>
          <w:kern w:val="0"/>
          <w:sz w:val="32"/>
          <w:szCs w:val="32"/>
          <w:bdr w:val="none" w:color="auto" w:sz="0" w:space="0"/>
          <w:shd w:val="clear" w:fill="FFFFFF"/>
          <w:lang w:val="en-US" w:eastAsia="zh-CN" w:bidi="ar"/>
        </w:rPr>
        <w:t>突出重点，严格落实整改。全年根据县政务公开办和第三方测评中反馈的问题，公开整改清单，主动接受社会监督，确保持续有效提升政务公开工作成效。</w:t>
      </w:r>
      <w:r>
        <w:rPr>
          <w:rFonts w:hint="eastAsia" w:ascii="仿宋_GB2312" w:hAnsi="微软雅黑" w:eastAsia="仿宋_GB2312" w:cs="仿宋_GB2312"/>
          <w:b/>
          <w:bCs/>
          <w:i w:val="0"/>
          <w:iCs w:val="0"/>
          <w:caps w:val="0"/>
          <w:color w:val="000000"/>
          <w:spacing w:val="0"/>
          <w:kern w:val="0"/>
          <w:sz w:val="32"/>
          <w:szCs w:val="32"/>
          <w:bdr w:val="none" w:color="auto" w:sz="0" w:space="0"/>
          <w:shd w:val="clear" w:fill="FFFFFF"/>
          <w:lang w:val="en-US" w:eastAsia="zh-CN" w:bidi="ar"/>
        </w:rPr>
        <w:t>三是</w:t>
      </w:r>
      <w:r>
        <w:rPr>
          <w:rFonts w:hint="eastAsia" w:ascii="仿宋_GB2312" w:hAnsi="微软雅黑" w:eastAsia="仿宋_GB2312" w:cs="仿宋_GB2312"/>
          <w:i w:val="0"/>
          <w:iCs w:val="0"/>
          <w:caps w:val="0"/>
          <w:color w:val="000000"/>
          <w:spacing w:val="0"/>
          <w:kern w:val="0"/>
          <w:sz w:val="32"/>
          <w:szCs w:val="32"/>
          <w:bdr w:val="none" w:color="auto" w:sz="0" w:space="0"/>
          <w:shd w:val="clear" w:fill="FFFFFF"/>
          <w:lang w:val="en-US" w:eastAsia="zh-CN" w:bidi="ar"/>
        </w:rPr>
        <w:t>倾听群众声音，对涉及群众切身利益、需要社会广泛知晓的重大政策措施，除依法应当保密的外，主动向社会公布，广泛听取社会意见建议。</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微软雅黑" w:hAnsi="微软雅黑" w:eastAsia="微软雅黑" w:cs="微软雅黑"/>
          <w:i w:val="0"/>
          <w:iCs w:val="0"/>
          <w:caps w:val="0"/>
          <w:color w:val="333333"/>
          <w:spacing w:val="0"/>
          <w:sz w:val="21"/>
          <w:szCs w:val="21"/>
        </w:rPr>
      </w:pPr>
      <w:r>
        <w:rPr>
          <w:rFonts w:hint="eastAsia" w:ascii="黑体" w:hAnsi="宋体" w:eastAsia="黑体" w:cs="黑体"/>
          <w:i w:val="0"/>
          <w:iCs w:val="0"/>
          <w:caps w:val="0"/>
          <w:color w:val="000000"/>
          <w:spacing w:val="0"/>
          <w:kern w:val="0"/>
          <w:sz w:val="32"/>
          <w:szCs w:val="32"/>
          <w:bdr w:val="none" w:color="auto" w:sz="0" w:space="0"/>
          <w:shd w:val="clear" w:fill="FFFFFF"/>
          <w:lang w:val="en-US" w:eastAsia="zh-CN" w:bidi="ar"/>
        </w:rPr>
        <w:t>二、主动公开政府信息情况</w:t>
      </w:r>
    </w:p>
    <w:tbl>
      <w:tblPr>
        <w:tblW w:w="97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2435"/>
        <w:gridCol w:w="2435"/>
        <w:gridCol w:w="2435"/>
        <w:gridCol w:w="24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shd w:val="clear" w:color="auto" w:fill="C6D9F1"/>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eastAsia" w:ascii="宋体" w:hAnsi="宋体" w:eastAsia="宋体" w:cs="宋体"/>
                <w:color w:val="000000"/>
                <w:kern w:val="0"/>
                <w:sz w:val="20"/>
                <w:szCs w:val="20"/>
                <w:bdr w:val="none" w:color="auto" w:sz="0" w:space="0"/>
                <w:lang w:val="en-US" w:eastAsia="zh-CN" w:bidi="ar"/>
              </w:rPr>
              <w:t>第二十条第（一）项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eastAsia" w:ascii="宋体" w:hAnsi="宋体" w:eastAsia="宋体" w:cs="宋体"/>
                <w:color w:val="000000"/>
                <w:kern w:val="0"/>
                <w:sz w:val="20"/>
                <w:szCs w:val="20"/>
                <w:bdr w:val="none" w:color="auto" w:sz="0" w:space="0"/>
                <w:lang w:val="en-US" w:eastAsia="zh-CN" w:bidi="ar"/>
              </w:rPr>
              <w:t>信息内容</w:t>
            </w:r>
          </w:p>
        </w:tc>
        <w:tc>
          <w:tcPr>
            <w:tcW w:w="2435" w:type="dxa"/>
            <w:tcBorders>
              <w:top w:val="single" w:color="auto" w:sz="8" w:space="0"/>
              <w:left w:val="nil"/>
              <w:bottom w:val="single" w:color="auto" w:sz="8" w:space="0"/>
              <w:right w:val="single" w:color="auto" w:sz="8" w:space="0"/>
            </w:tcBorders>
            <w:shd w:val="clear"/>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eastAsia" w:ascii="宋体" w:hAnsi="宋体" w:eastAsia="宋体" w:cs="宋体"/>
                <w:color w:val="000000"/>
                <w:kern w:val="0"/>
                <w:sz w:val="20"/>
                <w:szCs w:val="20"/>
                <w:bdr w:val="none" w:color="auto" w:sz="0" w:space="0"/>
                <w:lang w:val="en-US" w:eastAsia="zh-CN" w:bidi="ar"/>
              </w:rPr>
              <w:t>本年</w:t>
            </w:r>
            <w:r>
              <w:rPr>
                <w:rFonts w:hint="eastAsia" w:ascii="宋体" w:hAnsi="宋体" w:eastAsia="宋体" w:cs="宋体"/>
                <w:kern w:val="0"/>
                <w:sz w:val="20"/>
                <w:szCs w:val="20"/>
                <w:bdr w:val="none" w:color="auto" w:sz="0" w:space="0"/>
                <w:lang w:val="en-US" w:eastAsia="zh-CN" w:bidi="ar"/>
              </w:rPr>
              <w:t>制发件数</w:t>
            </w:r>
          </w:p>
        </w:tc>
        <w:tc>
          <w:tcPr>
            <w:tcW w:w="2435" w:type="dxa"/>
            <w:tcBorders>
              <w:top w:val="single" w:color="auto" w:sz="8" w:space="0"/>
              <w:left w:val="nil"/>
              <w:bottom w:val="single" w:color="auto" w:sz="8" w:space="0"/>
              <w:right w:val="single" w:color="auto" w:sz="8" w:space="0"/>
            </w:tcBorders>
            <w:shd w:val="clear"/>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eastAsia" w:ascii="宋体" w:hAnsi="宋体" w:eastAsia="宋体" w:cs="宋体"/>
                <w:color w:val="000000"/>
                <w:kern w:val="0"/>
                <w:sz w:val="20"/>
                <w:szCs w:val="20"/>
                <w:bdr w:val="none" w:color="auto" w:sz="0" w:space="0"/>
                <w:lang w:val="en-US" w:eastAsia="zh-CN" w:bidi="ar"/>
              </w:rPr>
              <w:t>本年废止件数</w:t>
            </w:r>
          </w:p>
        </w:tc>
        <w:tc>
          <w:tcPr>
            <w:tcW w:w="2435" w:type="dxa"/>
            <w:tcBorders>
              <w:top w:val="single" w:color="auto" w:sz="8" w:space="0"/>
              <w:left w:val="nil"/>
              <w:bottom w:val="single" w:color="auto" w:sz="8" w:space="0"/>
              <w:right w:val="single" w:color="auto" w:sz="8" w:space="0"/>
            </w:tcBorders>
            <w:shd w:val="clear"/>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eastAsia" w:ascii="宋体" w:hAnsi="宋体" w:eastAsia="宋体" w:cs="宋体"/>
                <w:color w:val="000000"/>
                <w:kern w:val="0"/>
                <w:sz w:val="20"/>
                <w:szCs w:val="20"/>
                <w:bdr w:val="none" w:color="auto" w:sz="0" w:space="0"/>
                <w:lang w:val="en-US" w:eastAsia="zh-CN" w:bidi="ar"/>
              </w:rPr>
              <w:t>现行有效件</w:t>
            </w:r>
            <w:r>
              <w:rPr>
                <w:rFonts w:hint="eastAsia" w:ascii="宋体" w:hAnsi="宋体" w:eastAsia="宋体" w:cs="宋体"/>
                <w:kern w:val="0"/>
                <w:sz w:val="20"/>
                <w:szCs w:val="20"/>
                <w:bdr w:val="none" w:color="auto" w:sz="0" w:space="0"/>
                <w:lang w:val="en-US" w:eastAsia="zh-CN" w:bidi="ar"/>
              </w:rPr>
              <w:t>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9" w:hRule="atLeast"/>
          <w:jc w:val="center"/>
        </w:trPr>
        <w:tc>
          <w:tcPr>
            <w:tcW w:w="2435" w:type="dxa"/>
            <w:tcBorders>
              <w:top w:val="nil"/>
              <w:left w:val="single" w:color="auto" w:sz="8" w:space="0"/>
              <w:bottom w:val="single" w:color="auto" w:sz="8" w:space="0"/>
              <w:right w:val="single" w:color="auto" w:sz="8" w:space="0"/>
            </w:tcBorders>
            <w:shd w:val="clear"/>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color w:val="000000"/>
                <w:kern w:val="0"/>
                <w:sz w:val="20"/>
                <w:szCs w:val="20"/>
                <w:bdr w:val="none" w:color="auto" w:sz="0" w:space="0"/>
                <w:lang w:val="en-US" w:eastAsia="zh-CN" w:bidi="ar"/>
              </w:rPr>
              <w:t>规章</w:t>
            </w:r>
          </w:p>
        </w:tc>
        <w:tc>
          <w:tcPr>
            <w:tcW w:w="2435" w:type="dxa"/>
            <w:tcBorders>
              <w:top w:val="nil"/>
              <w:left w:val="nil"/>
              <w:bottom w:val="single" w:color="auto" w:sz="8" w:space="0"/>
              <w:right w:val="single" w:color="auto" w:sz="8" w:space="0"/>
            </w:tcBorders>
            <w:shd w:val="clear"/>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eastAsia" w:ascii="宋体" w:hAnsi="宋体" w:eastAsia="宋体" w:cs="宋体"/>
                <w:color w:val="000000"/>
                <w:kern w:val="0"/>
                <w:sz w:val="20"/>
                <w:szCs w:val="20"/>
                <w:bdr w:val="none" w:color="auto" w:sz="0" w:space="0"/>
                <w:lang w:val="en-US" w:eastAsia="zh-CN" w:bidi="ar"/>
              </w:rPr>
              <w:t> 0</w:t>
            </w:r>
          </w:p>
        </w:tc>
        <w:tc>
          <w:tcPr>
            <w:tcW w:w="2435" w:type="dxa"/>
            <w:tcBorders>
              <w:top w:val="nil"/>
              <w:left w:val="nil"/>
              <w:bottom w:val="single" w:color="auto" w:sz="8" w:space="0"/>
              <w:right w:val="single" w:color="auto" w:sz="8" w:space="0"/>
            </w:tcBorders>
            <w:shd w:val="clear"/>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eastAsia" w:ascii="宋体" w:hAnsi="宋体" w:eastAsia="宋体" w:cs="宋体"/>
                <w:color w:val="000000"/>
                <w:kern w:val="0"/>
                <w:sz w:val="20"/>
                <w:szCs w:val="20"/>
                <w:bdr w:val="none" w:color="auto" w:sz="0" w:space="0"/>
                <w:lang w:val="en-US" w:eastAsia="zh-CN" w:bidi="ar"/>
              </w:rPr>
              <w:t>  0</w:t>
            </w:r>
          </w:p>
        </w:tc>
        <w:tc>
          <w:tcPr>
            <w:tcW w:w="2435" w:type="dxa"/>
            <w:tcBorders>
              <w:top w:val="nil"/>
              <w:left w:val="nil"/>
              <w:bottom w:val="single" w:color="auto" w:sz="8" w:space="0"/>
              <w:right w:val="single" w:color="auto" w:sz="8" w:space="0"/>
            </w:tcBorders>
            <w:shd w:val="clear"/>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eastAsia" w:ascii="宋体" w:hAnsi="宋体" w:eastAsia="宋体" w:cs="宋体"/>
                <w:color w:val="000000"/>
                <w:kern w:val="0"/>
                <w:sz w:val="20"/>
                <w:szCs w:val="20"/>
                <w:bdr w:val="none" w:color="auto" w:sz="0" w:space="0"/>
                <w:lang w:val="en-US" w:eastAsia="zh-CN" w:bidi="ar"/>
              </w:rPr>
              <w:t> 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color w:val="000000"/>
                <w:kern w:val="0"/>
                <w:sz w:val="20"/>
                <w:szCs w:val="20"/>
                <w:bdr w:val="none" w:color="auto" w:sz="0" w:space="0"/>
                <w:lang w:val="en-US" w:eastAsia="zh-CN" w:bidi="ar"/>
              </w:rPr>
              <w:t>行政规范性文件</w:t>
            </w:r>
          </w:p>
        </w:tc>
        <w:tc>
          <w:tcPr>
            <w:tcW w:w="2435" w:type="dxa"/>
            <w:tcBorders>
              <w:top w:val="nil"/>
              <w:left w:val="nil"/>
              <w:bottom w:val="single" w:color="auto" w:sz="8" w:space="0"/>
              <w:right w:val="single" w:color="auto" w:sz="8" w:space="0"/>
            </w:tcBorders>
            <w:shd w:val="clear"/>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eastAsia" w:ascii="宋体" w:hAnsi="宋体" w:eastAsia="宋体" w:cs="宋体"/>
                <w:color w:val="000000"/>
                <w:kern w:val="0"/>
                <w:sz w:val="20"/>
                <w:szCs w:val="20"/>
                <w:bdr w:val="none" w:color="auto" w:sz="0" w:space="0"/>
                <w:lang w:val="en-US" w:eastAsia="zh-CN" w:bidi="ar"/>
              </w:rPr>
              <w:t> 0</w:t>
            </w:r>
          </w:p>
        </w:tc>
        <w:tc>
          <w:tcPr>
            <w:tcW w:w="2435" w:type="dxa"/>
            <w:tcBorders>
              <w:top w:val="nil"/>
              <w:left w:val="nil"/>
              <w:bottom w:val="single" w:color="auto" w:sz="8" w:space="0"/>
              <w:right w:val="single" w:color="auto" w:sz="8" w:space="0"/>
            </w:tcBorders>
            <w:shd w:val="clear"/>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eastAsia" w:ascii="宋体" w:hAnsi="宋体" w:eastAsia="宋体" w:cs="宋体"/>
                <w:color w:val="000000"/>
                <w:kern w:val="0"/>
                <w:sz w:val="20"/>
                <w:szCs w:val="20"/>
                <w:bdr w:val="none" w:color="auto" w:sz="0" w:space="0"/>
                <w:lang w:val="en-US" w:eastAsia="zh-CN" w:bidi="ar"/>
              </w:rPr>
              <w:t>  0  </w:t>
            </w:r>
          </w:p>
        </w:tc>
        <w:tc>
          <w:tcPr>
            <w:tcW w:w="2435" w:type="dxa"/>
            <w:tcBorders>
              <w:top w:val="nil"/>
              <w:left w:val="nil"/>
              <w:bottom w:val="single" w:color="auto" w:sz="8" w:space="0"/>
              <w:right w:val="single" w:color="auto" w:sz="8" w:space="0"/>
            </w:tcBorders>
            <w:shd w:val="clear"/>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eastAsia" w:ascii="宋体" w:hAnsi="宋体" w:eastAsia="宋体" w:cs="宋体"/>
                <w:color w:val="000000"/>
                <w:kern w:val="0"/>
                <w:sz w:val="20"/>
                <w:szCs w:val="20"/>
                <w:bdr w:val="none" w:color="auto" w:sz="0" w:space="0"/>
                <w:lang w:val="en-US" w:eastAsia="zh-CN" w:bidi="ar"/>
              </w:rPr>
              <w:t> 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eastAsia" w:ascii="宋体" w:hAnsi="宋体" w:eastAsia="宋体" w:cs="宋体"/>
                <w:color w:val="000000"/>
                <w:kern w:val="0"/>
                <w:sz w:val="20"/>
                <w:szCs w:val="20"/>
                <w:bdr w:val="none" w:color="auto" w:sz="0" w:space="0"/>
                <w:lang w:val="en-US" w:eastAsia="zh-CN" w:bidi="ar"/>
              </w:rPr>
              <w:t>第二十条第（五）项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eastAsia" w:ascii="宋体" w:hAnsi="宋体" w:eastAsia="宋体" w:cs="宋体"/>
                <w:color w:val="000000"/>
                <w:kern w:val="0"/>
                <w:sz w:val="20"/>
                <w:szCs w:val="20"/>
                <w:bdr w:val="none" w:color="auto" w:sz="0" w:space="0"/>
                <w:lang w:val="en-US" w:eastAsia="zh-CN" w:bidi="ar"/>
              </w:rPr>
              <w:t>信息内容</w:t>
            </w:r>
          </w:p>
        </w:tc>
        <w:tc>
          <w:tcPr>
            <w:tcW w:w="7305" w:type="dxa"/>
            <w:gridSpan w:val="3"/>
            <w:tcBorders>
              <w:top w:val="nil"/>
              <w:left w:val="nil"/>
              <w:bottom w:val="single" w:color="auto" w:sz="8" w:space="0"/>
              <w:right w:val="single" w:color="auto" w:sz="8" w:space="0"/>
            </w:tcBorders>
            <w:shd w:val="clear"/>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eastAsia" w:ascii="宋体" w:hAnsi="宋体" w:eastAsia="宋体" w:cs="宋体"/>
                <w:color w:val="000000"/>
                <w:kern w:val="0"/>
                <w:sz w:val="20"/>
                <w:szCs w:val="20"/>
                <w:bdr w:val="none" w:color="auto" w:sz="0" w:space="0"/>
                <w:lang w:val="en-US" w:eastAsia="zh-CN" w:bidi="ar"/>
              </w:rPr>
              <w:t>本年处理决定数量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color w:val="000000"/>
                <w:kern w:val="0"/>
                <w:sz w:val="20"/>
                <w:szCs w:val="20"/>
                <w:bdr w:val="none" w:color="auto" w:sz="0" w:space="0"/>
                <w:lang w:val="en-US" w:eastAsia="zh-CN" w:bidi="ar"/>
              </w:rPr>
              <w:t>行政许可</w:t>
            </w:r>
          </w:p>
        </w:tc>
        <w:tc>
          <w:tcPr>
            <w:tcW w:w="7305" w:type="dxa"/>
            <w:gridSpan w:val="3"/>
            <w:tcBorders>
              <w:top w:val="nil"/>
              <w:left w:val="nil"/>
              <w:bottom w:val="single" w:color="auto" w:sz="8" w:space="0"/>
              <w:right w:val="single" w:color="auto" w:sz="8" w:space="0"/>
            </w:tcBorders>
            <w:shd w:val="clear"/>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3570"/>
              <w:jc w:val="left"/>
            </w:pPr>
            <w:r>
              <w:rPr>
                <w:rFonts w:ascii="Calibri" w:hAnsi="Calibri" w:cs="Calibri" w:eastAsiaTheme="minorEastAsia"/>
                <w:kern w:val="0"/>
                <w:sz w:val="21"/>
                <w:szCs w:val="21"/>
                <w:bdr w:val="none" w:color="auto" w:sz="0" w:space="0"/>
                <w:lang w:val="en-US" w:eastAsia="zh-CN" w:bidi="ar"/>
              </w:rPr>
              <w:t> </w:t>
            </w:r>
            <w:r>
              <w:rPr>
                <w:rFonts w:hint="default" w:ascii="Calibri" w:hAnsi="Calibri" w:eastAsia="仿宋_GB2312" w:cs="Calibri"/>
                <w:kern w:val="0"/>
                <w:sz w:val="21"/>
                <w:szCs w:val="21"/>
                <w:bdr w:val="none" w:color="auto" w:sz="0" w:space="0"/>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eastAsia" w:ascii="宋体" w:hAnsi="宋体" w:eastAsia="宋体" w:cs="宋体"/>
                <w:color w:val="000000"/>
                <w:kern w:val="0"/>
                <w:sz w:val="20"/>
                <w:szCs w:val="20"/>
                <w:bdr w:val="none" w:color="auto" w:sz="0" w:space="0"/>
                <w:lang w:val="en-US" w:eastAsia="zh-CN" w:bidi="ar"/>
              </w:rPr>
              <w:t>第二十条第（六）项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color w:val="000000"/>
                <w:kern w:val="0"/>
                <w:sz w:val="20"/>
                <w:szCs w:val="20"/>
                <w:bdr w:val="none" w:color="auto" w:sz="0" w:space="0"/>
                <w:lang w:val="en-US" w:eastAsia="zh-CN" w:bidi="ar"/>
              </w:rPr>
              <w:t>信息内容</w:t>
            </w:r>
          </w:p>
        </w:tc>
        <w:tc>
          <w:tcPr>
            <w:tcW w:w="7305" w:type="dxa"/>
            <w:gridSpan w:val="3"/>
            <w:tcBorders>
              <w:top w:val="single" w:color="auto" w:sz="8" w:space="0"/>
              <w:left w:val="nil"/>
              <w:bottom w:val="single" w:color="auto" w:sz="8" w:space="0"/>
              <w:right w:val="single" w:color="auto" w:sz="8" w:space="0"/>
            </w:tcBorders>
            <w:shd w:val="clear"/>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color w:val="000000"/>
                <w:kern w:val="0"/>
                <w:sz w:val="20"/>
                <w:szCs w:val="20"/>
                <w:bdr w:val="none" w:color="auto" w:sz="0" w:space="0"/>
                <w:lang w:val="en-US" w:eastAsia="zh-CN" w:bidi="ar"/>
              </w:rPr>
              <w:t>本年处理决定数量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414" w:hRule="atLeast"/>
          <w:jc w:val="center"/>
        </w:trPr>
        <w:tc>
          <w:tcPr>
            <w:tcW w:w="2435" w:type="dxa"/>
            <w:tcBorders>
              <w:top w:val="nil"/>
              <w:left w:val="single" w:color="auto" w:sz="8" w:space="0"/>
              <w:bottom w:val="single" w:color="auto" w:sz="8" w:space="0"/>
              <w:right w:val="single" w:color="auto" w:sz="8" w:space="0"/>
            </w:tcBorders>
            <w:shd w:val="clear"/>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color w:val="000000"/>
                <w:kern w:val="0"/>
                <w:sz w:val="20"/>
                <w:szCs w:val="20"/>
                <w:bdr w:val="none" w:color="auto" w:sz="0" w:space="0"/>
                <w:lang w:val="en-US" w:eastAsia="zh-CN" w:bidi="ar"/>
              </w:rPr>
              <w:t>行政处罚</w:t>
            </w:r>
          </w:p>
        </w:tc>
        <w:tc>
          <w:tcPr>
            <w:tcW w:w="7305" w:type="dxa"/>
            <w:gridSpan w:val="3"/>
            <w:tcBorders>
              <w:top w:val="nil"/>
              <w:left w:val="nil"/>
              <w:bottom w:val="single" w:color="auto" w:sz="8" w:space="0"/>
              <w:right w:val="single" w:color="auto" w:sz="8" w:space="0"/>
            </w:tcBorders>
            <w:shd w:val="clear"/>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eastAsia" w:ascii="宋体" w:hAnsi="宋体" w:eastAsia="宋体" w:cs="宋体"/>
                <w:color w:val="000000"/>
                <w:kern w:val="0"/>
                <w:sz w:val="20"/>
                <w:szCs w:val="20"/>
                <w:bdr w:val="none" w:color="auto" w:sz="0" w:space="0"/>
                <w:lang w:val="en-US" w:eastAsia="zh-CN" w:bidi="ar"/>
              </w:rPr>
              <w:t>  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color w:val="000000"/>
                <w:kern w:val="0"/>
                <w:sz w:val="20"/>
                <w:szCs w:val="20"/>
                <w:bdr w:val="none" w:color="auto" w:sz="0" w:space="0"/>
                <w:lang w:val="en-US" w:eastAsia="zh-CN" w:bidi="ar"/>
              </w:rPr>
              <w:t>行政强制</w:t>
            </w:r>
          </w:p>
        </w:tc>
        <w:tc>
          <w:tcPr>
            <w:tcW w:w="7305" w:type="dxa"/>
            <w:gridSpan w:val="3"/>
            <w:tcBorders>
              <w:top w:val="nil"/>
              <w:left w:val="nil"/>
              <w:bottom w:val="single" w:color="auto" w:sz="8" w:space="0"/>
              <w:right w:val="single" w:color="auto" w:sz="8" w:space="0"/>
            </w:tcBorders>
            <w:shd w:val="clear"/>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eastAsia" w:ascii="宋体" w:hAnsi="宋体" w:eastAsia="宋体" w:cs="宋体"/>
                <w:color w:val="000000"/>
                <w:kern w:val="0"/>
                <w:sz w:val="20"/>
                <w:szCs w:val="20"/>
                <w:bdr w:val="none" w:color="auto" w:sz="0" w:space="0"/>
                <w:lang w:val="en-US" w:eastAsia="zh-CN" w:bidi="ar"/>
              </w:rPr>
              <w:t>　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eastAsia" w:ascii="宋体" w:hAnsi="宋体" w:eastAsia="宋体" w:cs="宋体"/>
                <w:color w:val="000000"/>
                <w:kern w:val="0"/>
                <w:sz w:val="20"/>
                <w:szCs w:val="20"/>
                <w:bdr w:val="none" w:color="auto" w:sz="0" w:space="0"/>
                <w:lang w:val="en-US" w:eastAsia="zh-CN" w:bidi="ar"/>
              </w:rPr>
              <w:t>第二十条第（八）项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eastAsia" w:ascii="宋体" w:hAnsi="宋体" w:eastAsia="宋体" w:cs="宋体"/>
                <w:color w:val="000000"/>
                <w:kern w:val="0"/>
                <w:sz w:val="20"/>
                <w:szCs w:val="20"/>
                <w:bdr w:val="none" w:color="auto" w:sz="0" w:space="0"/>
                <w:lang w:val="en-US" w:eastAsia="zh-CN" w:bidi="ar"/>
              </w:rPr>
              <w:t>信息内容</w:t>
            </w:r>
          </w:p>
        </w:tc>
        <w:tc>
          <w:tcPr>
            <w:tcW w:w="7305" w:type="dxa"/>
            <w:gridSpan w:val="3"/>
            <w:tcBorders>
              <w:top w:val="nil"/>
              <w:left w:val="nil"/>
              <w:bottom w:val="single" w:color="auto" w:sz="8" w:space="0"/>
              <w:right w:val="single" w:color="auto" w:sz="8" w:space="0"/>
            </w:tcBorders>
            <w:shd w:val="clear"/>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eastAsia" w:ascii="宋体" w:hAnsi="宋体" w:eastAsia="宋体" w:cs="宋体"/>
                <w:color w:val="000000"/>
                <w:kern w:val="0"/>
                <w:sz w:val="20"/>
                <w:szCs w:val="20"/>
                <w:bdr w:val="none" w:color="auto" w:sz="0" w:space="0"/>
                <w:lang w:val="en-US" w:eastAsia="zh-CN" w:bidi="ar"/>
              </w:rPr>
              <w:t>本年收费金额（单位：万元）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color w:val="000000"/>
                <w:kern w:val="0"/>
                <w:sz w:val="20"/>
                <w:szCs w:val="20"/>
                <w:bdr w:val="none" w:color="auto" w:sz="0" w:space="0"/>
                <w:lang w:val="en-US" w:eastAsia="zh-CN" w:bidi="ar"/>
              </w:rPr>
              <w:t>行政事业性收费</w:t>
            </w:r>
          </w:p>
        </w:tc>
        <w:tc>
          <w:tcPr>
            <w:tcW w:w="7305" w:type="dxa"/>
            <w:gridSpan w:val="3"/>
            <w:tcBorders>
              <w:top w:val="nil"/>
              <w:left w:val="nil"/>
              <w:bottom w:val="single" w:color="auto" w:sz="8" w:space="0"/>
              <w:right w:val="single" w:color="auto" w:sz="8" w:space="0"/>
            </w:tcBorders>
            <w:shd w:val="clear"/>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pPr>
            <w:r>
              <w:rPr>
                <w:rFonts w:hint="eastAsia" w:ascii="宋体" w:hAnsi="宋体" w:eastAsia="宋体" w:cs="宋体"/>
                <w:kern w:val="0"/>
                <w:sz w:val="24"/>
                <w:szCs w:val="24"/>
                <w:bdr w:val="none" w:color="auto" w:sz="0" w:space="0"/>
                <w:lang w:val="en-US" w:eastAsia="zh-CN" w:bidi="ar"/>
              </w:rPr>
              <w:t>                          0</w:t>
            </w:r>
          </w:p>
        </w:tc>
      </w:tr>
    </w:tbl>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kern w:val="0"/>
          <w:sz w:val="21"/>
          <w:szCs w:val="21"/>
          <w:bdr w:val="none" w:color="auto" w:sz="0" w:space="0"/>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微软雅黑" w:hAnsi="微软雅黑" w:eastAsia="微软雅黑" w:cs="微软雅黑"/>
          <w:i w:val="0"/>
          <w:iCs w:val="0"/>
          <w:caps w:val="0"/>
          <w:color w:val="333333"/>
          <w:spacing w:val="0"/>
          <w:sz w:val="21"/>
          <w:szCs w:val="21"/>
        </w:rPr>
      </w:pPr>
      <w:r>
        <w:rPr>
          <w:rFonts w:hint="eastAsia" w:ascii="黑体" w:hAnsi="宋体" w:eastAsia="黑体" w:cs="黑体"/>
          <w:i w:val="0"/>
          <w:iCs w:val="0"/>
          <w:caps w:val="0"/>
          <w:color w:val="000000"/>
          <w:spacing w:val="0"/>
          <w:kern w:val="0"/>
          <w:sz w:val="32"/>
          <w:szCs w:val="32"/>
          <w:bdr w:val="none" w:color="auto" w:sz="0" w:space="0"/>
          <w:shd w:val="clear" w:fill="FFFFFF"/>
          <w:lang w:val="en-US" w:eastAsia="zh-CN" w:bidi="ar"/>
        </w:rPr>
        <w:t>三、收到和处理政府信息公开申请情况</w:t>
      </w:r>
    </w:p>
    <w:tbl>
      <w:tblPr>
        <w:tblW w:w="974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767"/>
        <w:gridCol w:w="943"/>
        <w:gridCol w:w="3219"/>
        <w:gridCol w:w="688"/>
        <w:gridCol w:w="688"/>
        <w:gridCol w:w="688"/>
        <w:gridCol w:w="688"/>
        <w:gridCol w:w="688"/>
        <w:gridCol w:w="688"/>
        <w:gridCol w:w="68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4929" w:type="dxa"/>
            <w:gridSpan w:val="3"/>
            <w:vMerge w:val="restart"/>
            <w:tcBorders>
              <w:top w:val="single" w:color="auto" w:sz="8" w:space="0"/>
              <w:left w:val="single" w:color="auto" w:sz="8" w:space="0"/>
              <w:bottom w:val="outset"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ascii="楷体" w:hAnsi="楷体" w:eastAsia="楷体" w:cs="楷体"/>
                <w:i w:val="0"/>
                <w:iCs w:val="0"/>
                <w:caps w:val="0"/>
                <w:color w:val="333333"/>
                <w:spacing w:val="0"/>
                <w:kern w:val="0"/>
                <w:sz w:val="20"/>
                <w:szCs w:val="20"/>
                <w:bdr w:val="none" w:color="auto" w:sz="0" w:space="0"/>
                <w:lang w:val="en-US" w:eastAsia="zh-CN" w:bidi="ar"/>
              </w:rPr>
              <w:t>（本列数据的勾稽关系为：第一项加第二项之和，等于第三项加第四项之和）</w:t>
            </w:r>
          </w:p>
        </w:tc>
        <w:tc>
          <w:tcPr>
            <w:tcW w:w="4816" w:type="dxa"/>
            <w:gridSpan w:val="7"/>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申请人情况</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4929" w:type="dxa"/>
            <w:gridSpan w:val="3"/>
            <w:vMerge w:val="continue"/>
            <w:tcBorders>
              <w:top w:val="single" w:color="auto" w:sz="8" w:space="0"/>
              <w:left w:val="single" w:color="auto" w:sz="8" w:space="0"/>
              <w:bottom w:val="outset" w:color="auto" w:sz="8" w:space="0"/>
              <w:right w:val="single" w:color="auto" w:sz="8" w:space="0"/>
            </w:tcBorders>
            <w:shd w:val="clear" w:color="auto" w:fill="FFFFFF"/>
            <w:tcMar>
              <w:left w:w="108" w:type="dxa"/>
              <w:right w:w="108"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688" w:type="dxa"/>
            <w:vMerge w:val="restart"/>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自然人</w:t>
            </w:r>
          </w:p>
        </w:tc>
        <w:tc>
          <w:tcPr>
            <w:tcW w:w="3440" w:type="dxa"/>
            <w:gridSpan w:val="5"/>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法人或其他组织</w:t>
            </w:r>
          </w:p>
        </w:tc>
        <w:tc>
          <w:tcPr>
            <w:tcW w:w="688" w:type="dxa"/>
            <w:vMerge w:val="restart"/>
            <w:tcBorders>
              <w:top w:val="single" w:color="auto" w:sz="8" w:space="0"/>
              <w:left w:val="nil"/>
              <w:bottom w:val="outset"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总计</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4929" w:type="dxa"/>
            <w:gridSpan w:val="3"/>
            <w:vMerge w:val="continue"/>
            <w:tcBorders>
              <w:top w:val="single" w:color="auto" w:sz="8" w:space="0"/>
              <w:left w:val="single" w:color="auto" w:sz="8" w:space="0"/>
              <w:bottom w:val="outset" w:color="auto" w:sz="8" w:space="0"/>
              <w:right w:val="single" w:color="auto" w:sz="8" w:space="0"/>
            </w:tcBorders>
            <w:shd w:val="clear" w:color="auto" w:fill="FFFFFF"/>
            <w:tcMar>
              <w:left w:w="108" w:type="dxa"/>
              <w:right w:w="108"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688" w:type="dxa"/>
            <w:vMerge w:val="continue"/>
            <w:tcBorders>
              <w:top w:val="nil"/>
              <w:left w:val="nil"/>
              <w:bottom w:val="single"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商业</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企业</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科研</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机构</w:t>
            </w:r>
          </w:p>
        </w:tc>
        <w:tc>
          <w:tcPr>
            <w:tcW w:w="688" w:type="dxa"/>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社会公益组织</w:t>
            </w:r>
          </w:p>
        </w:tc>
        <w:tc>
          <w:tcPr>
            <w:tcW w:w="688" w:type="dxa"/>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法律服务机构</w:t>
            </w:r>
          </w:p>
        </w:tc>
        <w:tc>
          <w:tcPr>
            <w:tcW w:w="688" w:type="dxa"/>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其他</w:t>
            </w:r>
          </w:p>
        </w:tc>
        <w:tc>
          <w:tcPr>
            <w:tcW w:w="688" w:type="dxa"/>
            <w:vMerge w:val="continue"/>
            <w:tcBorders>
              <w:top w:val="single" w:color="auto" w:sz="8" w:space="0"/>
              <w:left w:val="nil"/>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4929" w:type="dxa"/>
            <w:gridSpan w:val="3"/>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i w:val="0"/>
                <w:iCs w:val="0"/>
                <w:caps w:val="0"/>
                <w:color w:val="333333"/>
                <w:spacing w:val="0"/>
                <w:kern w:val="0"/>
                <w:sz w:val="20"/>
                <w:szCs w:val="20"/>
                <w:bdr w:val="none" w:color="auto" w:sz="0" w:space="0"/>
                <w:lang w:val="en-US" w:eastAsia="zh-CN" w:bidi="ar"/>
              </w:rPr>
              <w:t>一、本年新收政府信息公开申请数量</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4929" w:type="dxa"/>
            <w:gridSpan w:val="3"/>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i w:val="0"/>
                <w:iCs w:val="0"/>
                <w:caps w:val="0"/>
                <w:color w:val="333333"/>
                <w:spacing w:val="0"/>
                <w:kern w:val="0"/>
                <w:sz w:val="20"/>
                <w:szCs w:val="20"/>
                <w:bdr w:val="none" w:color="auto" w:sz="0" w:space="0"/>
                <w:lang w:val="en-US" w:eastAsia="zh-CN" w:bidi="ar"/>
              </w:rPr>
              <w:t>二、上年结转政府信息公开申请数量</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67" w:type="dxa"/>
            <w:vMerge w:val="restart"/>
            <w:tcBorders>
              <w:top w:val="nil"/>
              <w:left w:val="single" w:color="auto" w:sz="8" w:space="0"/>
              <w:bottom w:val="outset"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i w:val="0"/>
                <w:iCs w:val="0"/>
                <w:caps w:val="0"/>
                <w:color w:val="333333"/>
                <w:spacing w:val="0"/>
                <w:kern w:val="0"/>
                <w:sz w:val="20"/>
                <w:szCs w:val="20"/>
                <w:bdr w:val="none" w:color="auto" w:sz="0" w:space="0"/>
                <w:lang w:val="en-US" w:eastAsia="zh-CN" w:bidi="ar"/>
              </w:rPr>
              <w:t>三、本年度办理结果</w:t>
            </w:r>
          </w:p>
        </w:tc>
        <w:tc>
          <w:tcPr>
            <w:tcW w:w="4162" w:type="dxa"/>
            <w:gridSpan w:val="2"/>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i w:val="0"/>
                <w:iCs w:val="0"/>
                <w:caps w:val="0"/>
                <w:color w:val="333333"/>
                <w:spacing w:val="0"/>
                <w:kern w:val="0"/>
                <w:sz w:val="20"/>
                <w:szCs w:val="20"/>
                <w:bdr w:val="none" w:color="auto" w:sz="0" w:space="0"/>
                <w:lang w:val="en-US" w:eastAsia="zh-CN" w:bidi="ar"/>
              </w:rPr>
              <w:t>（一）予以公开</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single" w:color="auto" w:sz="8" w:space="0"/>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767" w:type="dxa"/>
            <w:vMerge w:val="continue"/>
            <w:tcBorders>
              <w:top w:val="nil"/>
              <w:left w:val="single" w:color="auto" w:sz="8" w:space="0"/>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4162" w:type="dxa"/>
            <w:gridSpan w:val="2"/>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i w:val="0"/>
                <w:iCs w:val="0"/>
                <w:caps w:val="0"/>
                <w:color w:val="333333"/>
                <w:spacing w:val="0"/>
                <w:kern w:val="0"/>
                <w:sz w:val="20"/>
                <w:szCs w:val="20"/>
                <w:bdr w:val="none" w:color="auto" w:sz="0" w:space="0"/>
                <w:lang w:val="en-US" w:eastAsia="zh-CN" w:bidi="ar"/>
              </w:rPr>
              <w:t>（二）部分公开</w:t>
            </w:r>
            <w:r>
              <w:rPr>
                <w:rFonts w:hint="eastAsia" w:ascii="楷体" w:hAnsi="楷体" w:eastAsia="楷体" w:cs="楷体"/>
                <w:i w:val="0"/>
                <w:iCs w:val="0"/>
                <w:caps w:val="0"/>
                <w:color w:val="333333"/>
                <w:spacing w:val="0"/>
                <w:kern w:val="0"/>
                <w:sz w:val="20"/>
                <w:szCs w:val="20"/>
                <w:bdr w:val="none" w:color="auto" w:sz="0" w:space="0"/>
                <w:lang w:val="en-US" w:eastAsia="zh-CN" w:bidi="ar"/>
              </w:rPr>
              <w:t>（区分处理的，只计这一情形，不计其他情形）</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67" w:type="dxa"/>
            <w:vMerge w:val="continue"/>
            <w:tcBorders>
              <w:top w:val="nil"/>
              <w:left w:val="single" w:color="auto" w:sz="8" w:space="0"/>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943" w:type="dxa"/>
            <w:vMerge w:val="restart"/>
            <w:tcBorders>
              <w:top w:val="nil"/>
              <w:left w:val="nil"/>
              <w:bottom w:val="outset"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i w:val="0"/>
                <w:iCs w:val="0"/>
                <w:caps w:val="0"/>
                <w:color w:val="333333"/>
                <w:spacing w:val="0"/>
                <w:kern w:val="0"/>
                <w:sz w:val="20"/>
                <w:szCs w:val="20"/>
                <w:bdr w:val="none" w:color="auto" w:sz="0" w:space="0"/>
                <w:lang w:val="en-US" w:eastAsia="zh-CN" w:bidi="ar"/>
              </w:rPr>
              <w:t>（三）不予公开</w:t>
            </w:r>
          </w:p>
        </w:tc>
        <w:tc>
          <w:tcPr>
            <w:tcW w:w="3219"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i w:val="0"/>
                <w:iCs w:val="0"/>
                <w:caps w:val="0"/>
                <w:color w:val="333333"/>
                <w:spacing w:val="0"/>
                <w:kern w:val="0"/>
                <w:sz w:val="20"/>
                <w:szCs w:val="20"/>
                <w:bdr w:val="none" w:color="auto" w:sz="0" w:space="0"/>
                <w:lang w:val="en-US" w:eastAsia="zh-CN" w:bidi="ar"/>
              </w:rPr>
              <w:t>1.属于国家秘密</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single" w:color="auto" w:sz="8" w:space="0"/>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767" w:type="dxa"/>
            <w:vMerge w:val="continue"/>
            <w:tcBorders>
              <w:top w:val="nil"/>
              <w:left w:val="single" w:color="auto" w:sz="8" w:space="0"/>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943" w:type="dxa"/>
            <w:vMerge w:val="continue"/>
            <w:tcBorders>
              <w:top w:val="nil"/>
              <w:left w:val="nil"/>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3219"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i w:val="0"/>
                <w:iCs w:val="0"/>
                <w:caps w:val="0"/>
                <w:color w:val="333333"/>
                <w:spacing w:val="0"/>
                <w:kern w:val="0"/>
                <w:sz w:val="20"/>
                <w:szCs w:val="20"/>
                <w:bdr w:val="none" w:color="auto" w:sz="0" w:space="0"/>
                <w:lang w:val="en-US" w:eastAsia="zh-CN" w:bidi="ar"/>
              </w:rPr>
              <w:t>2.其他法律行政法规禁止公开</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67" w:type="dxa"/>
            <w:vMerge w:val="continue"/>
            <w:tcBorders>
              <w:top w:val="nil"/>
              <w:left w:val="single" w:color="auto" w:sz="8" w:space="0"/>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943" w:type="dxa"/>
            <w:vMerge w:val="continue"/>
            <w:tcBorders>
              <w:top w:val="nil"/>
              <w:left w:val="nil"/>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3219"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i w:val="0"/>
                <w:iCs w:val="0"/>
                <w:caps w:val="0"/>
                <w:color w:val="333333"/>
                <w:spacing w:val="0"/>
                <w:kern w:val="0"/>
                <w:sz w:val="20"/>
                <w:szCs w:val="20"/>
                <w:bdr w:val="none" w:color="auto" w:sz="0" w:space="0"/>
                <w:lang w:val="en-US" w:eastAsia="zh-CN" w:bidi="ar"/>
              </w:rPr>
              <w:t>3.危及“三安全一稳定”</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767" w:type="dxa"/>
            <w:vMerge w:val="continue"/>
            <w:tcBorders>
              <w:top w:val="nil"/>
              <w:left w:val="single" w:color="auto" w:sz="8" w:space="0"/>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943" w:type="dxa"/>
            <w:vMerge w:val="continue"/>
            <w:tcBorders>
              <w:top w:val="nil"/>
              <w:left w:val="nil"/>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3219"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i w:val="0"/>
                <w:iCs w:val="0"/>
                <w:caps w:val="0"/>
                <w:color w:val="333333"/>
                <w:spacing w:val="0"/>
                <w:kern w:val="0"/>
                <w:sz w:val="20"/>
                <w:szCs w:val="20"/>
                <w:bdr w:val="none" w:color="auto" w:sz="0" w:space="0"/>
                <w:lang w:val="en-US" w:eastAsia="zh-CN" w:bidi="ar"/>
              </w:rPr>
              <w:t>4.保护第三方合法权益</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67" w:type="dxa"/>
            <w:vMerge w:val="continue"/>
            <w:tcBorders>
              <w:top w:val="nil"/>
              <w:left w:val="single" w:color="auto" w:sz="8" w:space="0"/>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943" w:type="dxa"/>
            <w:vMerge w:val="continue"/>
            <w:tcBorders>
              <w:top w:val="nil"/>
              <w:left w:val="nil"/>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3219"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i w:val="0"/>
                <w:iCs w:val="0"/>
                <w:caps w:val="0"/>
                <w:color w:val="333333"/>
                <w:spacing w:val="0"/>
                <w:kern w:val="0"/>
                <w:sz w:val="20"/>
                <w:szCs w:val="20"/>
                <w:bdr w:val="none" w:color="auto" w:sz="0" w:space="0"/>
                <w:lang w:val="en-US" w:eastAsia="zh-CN" w:bidi="ar"/>
              </w:rPr>
              <w:t>5.属于三类内部事务信息</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67" w:type="dxa"/>
            <w:vMerge w:val="continue"/>
            <w:tcBorders>
              <w:top w:val="nil"/>
              <w:left w:val="single" w:color="auto" w:sz="8" w:space="0"/>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943" w:type="dxa"/>
            <w:vMerge w:val="continue"/>
            <w:tcBorders>
              <w:top w:val="nil"/>
              <w:left w:val="nil"/>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3219"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i w:val="0"/>
                <w:iCs w:val="0"/>
                <w:caps w:val="0"/>
                <w:color w:val="333333"/>
                <w:spacing w:val="0"/>
                <w:kern w:val="0"/>
                <w:sz w:val="20"/>
                <w:szCs w:val="20"/>
                <w:bdr w:val="none" w:color="auto" w:sz="0" w:space="0"/>
                <w:lang w:val="en-US" w:eastAsia="zh-CN" w:bidi="ar"/>
              </w:rPr>
              <w:t>6.属于四类过程性信息</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767" w:type="dxa"/>
            <w:vMerge w:val="continue"/>
            <w:tcBorders>
              <w:top w:val="nil"/>
              <w:left w:val="single" w:color="auto" w:sz="8" w:space="0"/>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943" w:type="dxa"/>
            <w:vMerge w:val="continue"/>
            <w:tcBorders>
              <w:top w:val="nil"/>
              <w:left w:val="nil"/>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3219"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i w:val="0"/>
                <w:iCs w:val="0"/>
                <w:caps w:val="0"/>
                <w:color w:val="333333"/>
                <w:spacing w:val="0"/>
                <w:kern w:val="0"/>
                <w:sz w:val="20"/>
                <w:szCs w:val="20"/>
                <w:bdr w:val="none" w:color="auto" w:sz="0" w:space="0"/>
                <w:lang w:val="en-US" w:eastAsia="zh-CN" w:bidi="ar"/>
              </w:rPr>
              <w:t>7.属于行政执法案卷</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67" w:type="dxa"/>
            <w:vMerge w:val="continue"/>
            <w:tcBorders>
              <w:top w:val="nil"/>
              <w:left w:val="single" w:color="auto" w:sz="8" w:space="0"/>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943" w:type="dxa"/>
            <w:vMerge w:val="continue"/>
            <w:tcBorders>
              <w:top w:val="nil"/>
              <w:left w:val="nil"/>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3219"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i w:val="0"/>
                <w:iCs w:val="0"/>
                <w:caps w:val="0"/>
                <w:color w:val="333333"/>
                <w:spacing w:val="0"/>
                <w:kern w:val="0"/>
                <w:sz w:val="20"/>
                <w:szCs w:val="20"/>
                <w:bdr w:val="none" w:color="auto" w:sz="0" w:space="0"/>
                <w:lang w:val="en-US" w:eastAsia="zh-CN" w:bidi="ar"/>
              </w:rPr>
              <w:t>8.属于行政查询事项</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67" w:type="dxa"/>
            <w:vMerge w:val="continue"/>
            <w:tcBorders>
              <w:top w:val="nil"/>
              <w:left w:val="single" w:color="auto" w:sz="8" w:space="0"/>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943" w:type="dxa"/>
            <w:vMerge w:val="restart"/>
            <w:tcBorders>
              <w:top w:val="nil"/>
              <w:left w:val="nil"/>
              <w:bottom w:val="outset"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i w:val="0"/>
                <w:iCs w:val="0"/>
                <w:caps w:val="0"/>
                <w:color w:val="333333"/>
                <w:spacing w:val="0"/>
                <w:kern w:val="0"/>
                <w:sz w:val="20"/>
                <w:szCs w:val="20"/>
                <w:bdr w:val="none" w:color="auto" w:sz="0" w:space="0"/>
                <w:lang w:val="en-US" w:eastAsia="zh-CN" w:bidi="ar"/>
              </w:rPr>
              <w:t>（四）无法提供</w:t>
            </w:r>
          </w:p>
        </w:tc>
        <w:tc>
          <w:tcPr>
            <w:tcW w:w="3219"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i w:val="0"/>
                <w:iCs w:val="0"/>
                <w:caps w:val="0"/>
                <w:color w:val="333333"/>
                <w:spacing w:val="0"/>
                <w:kern w:val="0"/>
                <w:sz w:val="20"/>
                <w:szCs w:val="20"/>
                <w:bdr w:val="none" w:color="auto" w:sz="0" w:space="0"/>
                <w:lang w:val="en-US" w:eastAsia="zh-CN" w:bidi="ar"/>
              </w:rPr>
              <w:t>1.本机关不掌握相关政府信息</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67" w:type="dxa"/>
            <w:vMerge w:val="continue"/>
            <w:tcBorders>
              <w:top w:val="nil"/>
              <w:left w:val="single" w:color="auto" w:sz="8" w:space="0"/>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943" w:type="dxa"/>
            <w:vMerge w:val="continue"/>
            <w:tcBorders>
              <w:top w:val="nil"/>
              <w:left w:val="nil"/>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3219"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i w:val="0"/>
                <w:iCs w:val="0"/>
                <w:caps w:val="0"/>
                <w:color w:val="333333"/>
                <w:spacing w:val="0"/>
                <w:kern w:val="0"/>
                <w:sz w:val="20"/>
                <w:szCs w:val="20"/>
                <w:bdr w:val="none" w:color="auto" w:sz="0" w:space="0"/>
                <w:lang w:val="en-US" w:eastAsia="zh-CN" w:bidi="ar"/>
              </w:rPr>
              <w:t>2.没有现成信息需要另行制作</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767" w:type="dxa"/>
            <w:vMerge w:val="continue"/>
            <w:tcBorders>
              <w:top w:val="nil"/>
              <w:left w:val="single" w:color="auto" w:sz="8" w:space="0"/>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943" w:type="dxa"/>
            <w:vMerge w:val="continue"/>
            <w:tcBorders>
              <w:top w:val="nil"/>
              <w:left w:val="nil"/>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3219"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i w:val="0"/>
                <w:iCs w:val="0"/>
                <w:caps w:val="0"/>
                <w:color w:val="333333"/>
                <w:spacing w:val="0"/>
                <w:kern w:val="0"/>
                <w:sz w:val="20"/>
                <w:szCs w:val="20"/>
                <w:bdr w:val="none" w:color="auto" w:sz="0" w:space="0"/>
                <w:lang w:val="en-US" w:eastAsia="zh-CN" w:bidi="ar"/>
              </w:rPr>
              <w:t>3.补正后申请内容仍不明确</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67" w:type="dxa"/>
            <w:vMerge w:val="continue"/>
            <w:tcBorders>
              <w:top w:val="nil"/>
              <w:left w:val="single" w:color="auto" w:sz="8" w:space="0"/>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943" w:type="dxa"/>
            <w:vMerge w:val="restart"/>
            <w:tcBorders>
              <w:top w:val="nil"/>
              <w:left w:val="nil"/>
              <w:bottom w:val="outset"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i w:val="0"/>
                <w:iCs w:val="0"/>
                <w:caps w:val="0"/>
                <w:color w:val="333333"/>
                <w:spacing w:val="0"/>
                <w:kern w:val="0"/>
                <w:sz w:val="20"/>
                <w:szCs w:val="20"/>
                <w:bdr w:val="none" w:color="auto" w:sz="0" w:space="0"/>
                <w:lang w:val="en-US" w:eastAsia="zh-CN" w:bidi="ar"/>
              </w:rPr>
              <w:t>（五）不予处理</w:t>
            </w:r>
          </w:p>
        </w:tc>
        <w:tc>
          <w:tcPr>
            <w:tcW w:w="3219"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i w:val="0"/>
                <w:iCs w:val="0"/>
                <w:caps w:val="0"/>
                <w:color w:val="333333"/>
                <w:spacing w:val="0"/>
                <w:kern w:val="0"/>
                <w:sz w:val="20"/>
                <w:szCs w:val="20"/>
                <w:bdr w:val="none" w:color="auto" w:sz="0" w:space="0"/>
                <w:lang w:val="en-US" w:eastAsia="zh-CN" w:bidi="ar"/>
              </w:rPr>
              <w:t>1.信访举报投诉类申请</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767" w:type="dxa"/>
            <w:vMerge w:val="continue"/>
            <w:tcBorders>
              <w:top w:val="nil"/>
              <w:left w:val="single" w:color="auto" w:sz="8" w:space="0"/>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943" w:type="dxa"/>
            <w:vMerge w:val="continue"/>
            <w:tcBorders>
              <w:top w:val="nil"/>
              <w:left w:val="nil"/>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3219"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i w:val="0"/>
                <w:iCs w:val="0"/>
                <w:caps w:val="0"/>
                <w:color w:val="333333"/>
                <w:spacing w:val="0"/>
                <w:kern w:val="0"/>
                <w:sz w:val="20"/>
                <w:szCs w:val="20"/>
                <w:bdr w:val="none" w:color="auto" w:sz="0" w:space="0"/>
                <w:lang w:val="en-US" w:eastAsia="zh-CN" w:bidi="ar"/>
              </w:rPr>
              <w:t>2.重复申请</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767" w:type="dxa"/>
            <w:vMerge w:val="continue"/>
            <w:tcBorders>
              <w:top w:val="nil"/>
              <w:left w:val="single" w:color="auto" w:sz="8" w:space="0"/>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943" w:type="dxa"/>
            <w:vMerge w:val="continue"/>
            <w:tcBorders>
              <w:top w:val="nil"/>
              <w:left w:val="nil"/>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3219"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i w:val="0"/>
                <w:iCs w:val="0"/>
                <w:caps w:val="0"/>
                <w:color w:val="333333"/>
                <w:spacing w:val="0"/>
                <w:kern w:val="0"/>
                <w:sz w:val="20"/>
                <w:szCs w:val="20"/>
                <w:bdr w:val="none" w:color="auto" w:sz="0" w:space="0"/>
                <w:lang w:val="en-US" w:eastAsia="zh-CN" w:bidi="ar"/>
              </w:rPr>
              <w:t>3.要求提供公开出版物</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67" w:type="dxa"/>
            <w:vMerge w:val="continue"/>
            <w:tcBorders>
              <w:top w:val="nil"/>
              <w:left w:val="single" w:color="auto" w:sz="8" w:space="0"/>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943" w:type="dxa"/>
            <w:vMerge w:val="continue"/>
            <w:tcBorders>
              <w:top w:val="nil"/>
              <w:left w:val="nil"/>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3219"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i w:val="0"/>
                <w:iCs w:val="0"/>
                <w:caps w:val="0"/>
                <w:color w:val="333333"/>
                <w:spacing w:val="0"/>
                <w:kern w:val="0"/>
                <w:sz w:val="20"/>
                <w:szCs w:val="20"/>
                <w:bdr w:val="none" w:color="auto" w:sz="0" w:space="0"/>
                <w:lang w:val="en-US" w:eastAsia="zh-CN" w:bidi="ar"/>
              </w:rPr>
              <w:t>4.无正当理由大量反复申请</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79" w:hRule="atLeast"/>
        </w:trPr>
        <w:tc>
          <w:tcPr>
            <w:tcW w:w="767" w:type="dxa"/>
            <w:vMerge w:val="continue"/>
            <w:tcBorders>
              <w:top w:val="nil"/>
              <w:left w:val="single" w:color="auto" w:sz="8" w:space="0"/>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943" w:type="dxa"/>
            <w:vMerge w:val="continue"/>
            <w:tcBorders>
              <w:top w:val="nil"/>
              <w:left w:val="nil"/>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3219" w:type="dxa"/>
            <w:tcBorders>
              <w:top w:val="nil"/>
              <w:left w:val="nil"/>
              <w:bottom w:val="outset"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pPr>
            <w:r>
              <w:rPr>
                <w:rFonts w:hint="eastAsia" w:ascii="宋体" w:hAnsi="宋体" w:eastAsia="宋体" w:cs="宋体"/>
                <w:i w:val="0"/>
                <w:iCs w:val="0"/>
                <w:caps w:val="0"/>
                <w:color w:val="333333"/>
                <w:spacing w:val="0"/>
                <w:kern w:val="0"/>
                <w:sz w:val="20"/>
                <w:szCs w:val="20"/>
                <w:bdr w:val="none" w:color="auto" w:sz="0" w:space="0"/>
                <w:lang w:val="en-US" w:eastAsia="zh-CN" w:bidi="ar"/>
              </w:rPr>
              <w:t>5.要求行政机关确认或重新出具已获取信息</w:t>
            </w:r>
          </w:p>
        </w:tc>
        <w:tc>
          <w:tcPr>
            <w:tcW w:w="688" w:type="dxa"/>
            <w:tcBorders>
              <w:top w:val="nil"/>
              <w:left w:val="nil"/>
              <w:bottom w:val="outset"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outset"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outset"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outset"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outset"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outset"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outset"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67" w:type="dxa"/>
            <w:vMerge w:val="continue"/>
            <w:tcBorders>
              <w:top w:val="nil"/>
              <w:left w:val="single" w:color="auto" w:sz="8" w:space="0"/>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943" w:type="dxa"/>
            <w:vMerge w:val="restart"/>
            <w:tcBorders>
              <w:top w:val="nil"/>
              <w:left w:val="nil"/>
              <w:bottom w:val="outset"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i w:val="0"/>
                <w:iCs w:val="0"/>
                <w:caps w:val="0"/>
                <w:color w:val="333333"/>
                <w:spacing w:val="0"/>
                <w:kern w:val="0"/>
                <w:sz w:val="20"/>
                <w:szCs w:val="20"/>
                <w:bdr w:val="none" w:color="auto" w:sz="0" w:space="0"/>
                <w:lang w:val="en-US" w:eastAsia="zh-CN" w:bidi="ar"/>
              </w:rPr>
              <w:t>（六）其他处理</w:t>
            </w:r>
          </w:p>
        </w:tc>
        <w:tc>
          <w:tcPr>
            <w:tcW w:w="3219"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pPr>
            <w:r>
              <w:rPr>
                <w:rFonts w:hint="eastAsia" w:ascii="宋体" w:hAnsi="宋体" w:eastAsia="宋体" w:cs="宋体"/>
                <w:i w:val="0"/>
                <w:iCs w:val="0"/>
                <w:caps w:val="0"/>
                <w:color w:val="333333"/>
                <w:spacing w:val="0"/>
                <w:kern w:val="0"/>
                <w:sz w:val="20"/>
                <w:szCs w:val="20"/>
                <w:bdr w:val="none" w:color="auto" w:sz="0" w:space="0"/>
                <w:lang w:val="en-US" w:eastAsia="zh-CN" w:bidi="ar"/>
              </w:rPr>
              <w:t>1.申请人无正当理由逾期不补正、行政机关不再处理其政府信息公开申请</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67" w:type="dxa"/>
            <w:vMerge w:val="continue"/>
            <w:tcBorders>
              <w:top w:val="nil"/>
              <w:left w:val="single" w:color="auto" w:sz="8" w:space="0"/>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943" w:type="dxa"/>
            <w:vMerge w:val="continue"/>
            <w:tcBorders>
              <w:top w:val="nil"/>
              <w:left w:val="nil"/>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3219"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pPr>
            <w:r>
              <w:rPr>
                <w:rFonts w:hint="eastAsia" w:ascii="宋体" w:hAnsi="宋体" w:eastAsia="宋体" w:cs="宋体"/>
                <w:i w:val="0"/>
                <w:iCs w:val="0"/>
                <w:caps w:val="0"/>
                <w:color w:val="333333"/>
                <w:spacing w:val="0"/>
                <w:kern w:val="0"/>
                <w:sz w:val="20"/>
                <w:szCs w:val="20"/>
                <w:bdr w:val="none" w:color="auto" w:sz="0" w:space="0"/>
                <w:lang w:val="en-US" w:eastAsia="zh-CN" w:bidi="ar"/>
              </w:rPr>
              <w:t>2.申请人逾期未按收费通知要求缴纳费用、行政机关不再处理其政府信息公开申请</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67" w:type="dxa"/>
            <w:vMerge w:val="continue"/>
            <w:tcBorders>
              <w:top w:val="nil"/>
              <w:left w:val="single" w:color="auto" w:sz="8" w:space="0"/>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943" w:type="dxa"/>
            <w:vMerge w:val="continue"/>
            <w:tcBorders>
              <w:top w:val="nil"/>
              <w:left w:val="nil"/>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3219"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i w:val="0"/>
                <w:iCs w:val="0"/>
                <w:caps w:val="0"/>
                <w:color w:val="333333"/>
                <w:spacing w:val="0"/>
                <w:kern w:val="0"/>
                <w:sz w:val="20"/>
                <w:szCs w:val="20"/>
                <w:bdr w:val="none" w:color="auto" w:sz="0" w:space="0"/>
                <w:lang w:val="en-US" w:eastAsia="zh-CN" w:bidi="ar"/>
              </w:rPr>
              <w:t>3.其他</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67" w:type="dxa"/>
            <w:vMerge w:val="continue"/>
            <w:tcBorders>
              <w:top w:val="nil"/>
              <w:left w:val="single" w:color="auto" w:sz="8" w:space="0"/>
              <w:bottom w:val="outset" w:color="auto" w:sz="8" w:space="0"/>
              <w:right w:val="single" w:color="auto" w:sz="8" w:space="0"/>
            </w:tcBorders>
            <w:shd w:val="clear" w:color="auto" w:fill="FFFFFF"/>
            <w:tcMar>
              <w:left w:w="57" w:type="dxa"/>
              <w:right w:w="57"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4162" w:type="dxa"/>
            <w:gridSpan w:val="2"/>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i w:val="0"/>
                <w:iCs w:val="0"/>
                <w:caps w:val="0"/>
                <w:color w:val="333333"/>
                <w:spacing w:val="0"/>
                <w:kern w:val="0"/>
                <w:sz w:val="20"/>
                <w:szCs w:val="20"/>
                <w:bdr w:val="none" w:color="auto" w:sz="0" w:space="0"/>
                <w:lang w:val="en-US" w:eastAsia="zh-CN" w:bidi="ar"/>
              </w:rPr>
              <w:t>（七）总计</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4929" w:type="dxa"/>
            <w:gridSpan w:val="3"/>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i w:val="0"/>
                <w:iCs w:val="0"/>
                <w:caps w:val="0"/>
                <w:color w:val="333333"/>
                <w:spacing w:val="0"/>
                <w:kern w:val="0"/>
                <w:sz w:val="20"/>
                <w:szCs w:val="20"/>
                <w:bdr w:val="none" w:color="auto" w:sz="0" w:space="0"/>
                <w:lang w:val="en-US" w:eastAsia="zh-CN" w:bidi="ar"/>
              </w:rPr>
              <w:t>四、结转下年度继续办理</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p>
        </w:tc>
        <w:tc>
          <w:tcPr>
            <w:tcW w:w="688" w:type="dxa"/>
            <w:tcBorders>
              <w:top w:val="nil"/>
              <w:left w:val="nil"/>
              <w:bottom w:val="single" w:color="auto" w:sz="8" w:space="0"/>
              <w:right w:val="single" w:color="auto" w:sz="8" w:space="0"/>
            </w:tcBorders>
            <w:shd w:val="clear" w:color="auto" w:fill="FFFFFF"/>
            <w:tcMar>
              <w:left w:w="57"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pPr>
            <w:r>
              <w:rPr>
                <w:rFonts w:hint="default" w:ascii="Calibri" w:hAnsi="Calibri" w:eastAsia="仿宋_GB2312" w:cs="Calibri"/>
                <w:i w:val="0"/>
                <w:iCs w:val="0"/>
                <w:caps w:val="0"/>
                <w:color w:val="333333"/>
                <w:spacing w:val="0"/>
                <w:kern w:val="0"/>
                <w:sz w:val="20"/>
                <w:szCs w:val="20"/>
                <w:bdr w:val="none" w:color="auto" w:sz="0" w:space="0"/>
                <w:lang w:val="en-US" w:eastAsia="zh-CN" w:bidi="ar"/>
              </w:rPr>
              <w:t>0</w:t>
            </w:r>
            <w:r>
              <w:rPr>
                <w:rFonts w:hint="default" w:ascii="Calibri" w:hAnsi="Calibri" w:eastAsia="微软雅黑" w:cs="Calibri"/>
                <w:i w:val="0"/>
                <w:iCs w:val="0"/>
                <w:caps w:val="0"/>
                <w:color w:val="333333"/>
                <w:spacing w:val="0"/>
                <w:kern w:val="0"/>
                <w:sz w:val="20"/>
                <w:szCs w:val="20"/>
                <w:bdr w:val="none" w:color="auto" w:sz="0" w:space="0"/>
                <w:lang w:val="en-US" w:eastAsia="zh-CN" w:bidi="ar"/>
              </w:rPr>
              <w:t> </w:t>
            </w:r>
          </w:p>
        </w:tc>
      </w:tr>
    </w:tbl>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黑体" w:hAnsi="宋体" w:eastAsia="黑体" w:cs="黑体"/>
          <w:i w:val="0"/>
          <w:iCs w:val="0"/>
          <w:caps w:val="0"/>
          <w:color w:val="000000"/>
          <w:spacing w:val="0"/>
          <w:kern w:val="0"/>
          <w:sz w:val="32"/>
          <w:szCs w:val="32"/>
          <w:bdr w:val="none" w:color="auto" w:sz="0" w:space="0"/>
          <w:shd w:val="clear" w:fill="FFFFFF"/>
          <w:lang w:val="en-US" w:eastAsia="zh-CN" w:bidi="ar"/>
        </w:rPr>
        <w:t>四、政府信息公开行政复议、行政诉讼情况</w:t>
      </w:r>
    </w:p>
    <w:tbl>
      <w:tblPr>
        <w:tblW w:w="9743"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649"/>
        <w:gridCol w:w="649"/>
        <w:gridCol w:w="649"/>
        <w:gridCol w:w="649"/>
        <w:gridCol w:w="649"/>
        <w:gridCol w:w="649"/>
        <w:gridCol w:w="649"/>
        <w:gridCol w:w="650"/>
        <w:gridCol w:w="650"/>
        <w:gridCol w:w="650"/>
        <w:gridCol w:w="650"/>
        <w:gridCol w:w="650"/>
        <w:gridCol w:w="650"/>
        <w:gridCol w:w="650"/>
        <w:gridCol w:w="65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3245" w:type="dxa"/>
            <w:gridSpan w:val="5"/>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行政复议</w:t>
            </w:r>
          </w:p>
        </w:tc>
        <w:tc>
          <w:tcPr>
            <w:tcW w:w="6498" w:type="dxa"/>
            <w:gridSpan w:val="10"/>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行政诉讼</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649"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结果维持</w:t>
            </w:r>
          </w:p>
        </w:tc>
        <w:tc>
          <w:tcPr>
            <w:tcW w:w="649" w:type="dxa"/>
            <w:vMerge w:val="restart"/>
            <w:tcBorders>
              <w:top w:val="nil"/>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结果</w:t>
            </w:r>
            <w:r>
              <w:rPr>
                <w:rFonts w:hint="eastAsia" w:ascii="宋体" w:hAnsi="宋体" w:eastAsia="宋体" w:cs="宋体"/>
                <w:i w:val="0"/>
                <w:iCs w:val="0"/>
                <w:caps w:val="0"/>
                <w:color w:val="333333"/>
                <w:spacing w:val="0"/>
                <w:kern w:val="0"/>
                <w:sz w:val="20"/>
                <w:szCs w:val="20"/>
                <w:bdr w:val="none" w:color="auto" w:sz="0" w:space="0"/>
                <w:lang w:val="en-US" w:eastAsia="zh-CN" w:bidi="ar"/>
              </w:rPr>
              <w:br w:type="textWrapping"/>
            </w:r>
            <w:r>
              <w:rPr>
                <w:rFonts w:hint="eastAsia" w:ascii="宋体" w:hAnsi="宋体" w:eastAsia="宋体" w:cs="宋体"/>
                <w:i w:val="0"/>
                <w:iCs w:val="0"/>
                <w:caps w:val="0"/>
                <w:color w:val="333333"/>
                <w:spacing w:val="0"/>
                <w:kern w:val="0"/>
                <w:sz w:val="20"/>
                <w:szCs w:val="20"/>
                <w:bdr w:val="none" w:color="auto" w:sz="0" w:space="0"/>
                <w:lang w:val="en-US" w:eastAsia="zh-CN" w:bidi="ar"/>
              </w:rPr>
              <w:t>纠正</w:t>
            </w:r>
          </w:p>
        </w:tc>
        <w:tc>
          <w:tcPr>
            <w:tcW w:w="649" w:type="dxa"/>
            <w:vMerge w:val="restart"/>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其他</w:t>
            </w:r>
            <w:r>
              <w:rPr>
                <w:rFonts w:hint="eastAsia" w:ascii="宋体" w:hAnsi="宋体" w:eastAsia="宋体" w:cs="宋体"/>
                <w:i w:val="0"/>
                <w:iCs w:val="0"/>
                <w:caps w:val="0"/>
                <w:color w:val="333333"/>
                <w:spacing w:val="0"/>
                <w:kern w:val="0"/>
                <w:sz w:val="20"/>
                <w:szCs w:val="20"/>
                <w:bdr w:val="none" w:color="auto" w:sz="0" w:space="0"/>
                <w:lang w:val="en-US" w:eastAsia="zh-CN" w:bidi="ar"/>
              </w:rPr>
              <w:br w:type="textWrapping"/>
            </w:r>
            <w:r>
              <w:rPr>
                <w:rFonts w:hint="eastAsia" w:ascii="宋体" w:hAnsi="宋体" w:eastAsia="宋体" w:cs="宋体"/>
                <w:i w:val="0"/>
                <w:iCs w:val="0"/>
                <w:caps w:val="0"/>
                <w:color w:val="333333"/>
                <w:spacing w:val="0"/>
                <w:kern w:val="0"/>
                <w:sz w:val="20"/>
                <w:szCs w:val="20"/>
                <w:bdr w:val="none" w:color="auto" w:sz="0" w:space="0"/>
                <w:lang w:val="en-US" w:eastAsia="zh-CN" w:bidi="ar"/>
              </w:rPr>
              <w:t>结果</w:t>
            </w:r>
          </w:p>
        </w:tc>
        <w:tc>
          <w:tcPr>
            <w:tcW w:w="649" w:type="dxa"/>
            <w:vMerge w:val="restart"/>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尚未</w:t>
            </w:r>
            <w:r>
              <w:rPr>
                <w:rFonts w:hint="eastAsia" w:ascii="宋体" w:hAnsi="宋体" w:eastAsia="宋体" w:cs="宋体"/>
                <w:i w:val="0"/>
                <w:iCs w:val="0"/>
                <w:caps w:val="0"/>
                <w:color w:val="333333"/>
                <w:spacing w:val="0"/>
                <w:kern w:val="0"/>
                <w:sz w:val="20"/>
                <w:szCs w:val="20"/>
                <w:bdr w:val="none" w:color="auto" w:sz="0" w:space="0"/>
                <w:lang w:val="en-US" w:eastAsia="zh-CN" w:bidi="ar"/>
              </w:rPr>
              <w:br w:type="textWrapping"/>
            </w:r>
            <w:r>
              <w:rPr>
                <w:rFonts w:hint="eastAsia" w:ascii="宋体" w:hAnsi="宋体" w:eastAsia="宋体" w:cs="宋体"/>
                <w:i w:val="0"/>
                <w:iCs w:val="0"/>
                <w:caps w:val="0"/>
                <w:color w:val="333333"/>
                <w:spacing w:val="0"/>
                <w:kern w:val="0"/>
                <w:sz w:val="20"/>
                <w:szCs w:val="20"/>
                <w:bdr w:val="none" w:color="auto" w:sz="0" w:space="0"/>
                <w:lang w:val="en-US" w:eastAsia="zh-CN" w:bidi="ar"/>
              </w:rPr>
              <w:t>审结</w:t>
            </w:r>
          </w:p>
        </w:tc>
        <w:tc>
          <w:tcPr>
            <w:tcW w:w="649" w:type="dxa"/>
            <w:vMerge w:val="restart"/>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总计</w:t>
            </w:r>
          </w:p>
        </w:tc>
        <w:tc>
          <w:tcPr>
            <w:tcW w:w="3248" w:type="dxa"/>
            <w:gridSpan w:val="5"/>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未经复议直接起诉</w:t>
            </w:r>
          </w:p>
        </w:tc>
        <w:tc>
          <w:tcPr>
            <w:tcW w:w="3250" w:type="dxa"/>
            <w:gridSpan w:val="5"/>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复议后起诉</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649"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649" w:type="dxa"/>
            <w:vMerge w:val="continue"/>
            <w:tcBorders>
              <w:top w:val="nil"/>
              <w:left w:val="nil"/>
              <w:bottom w:val="single" w:color="auto" w:sz="8" w:space="0"/>
              <w:right w:val="single" w:color="auto" w:sz="8" w:space="0"/>
            </w:tcBorders>
            <w:shd w:val="clear" w:color="auto" w:fill="FFFFFF"/>
            <w:tcMar>
              <w:left w:w="108" w:type="dxa"/>
              <w:right w:w="108"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649" w:type="dxa"/>
            <w:vMerge w:val="continue"/>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649" w:type="dxa"/>
            <w:vMerge w:val="continue"/>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649" w:type="dxa"/>
            <w:vMerge w:val="continue"/>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pPr>
              <w:jc w:val="both"/>
              <w:rPr>
                <w:rFonts w:hint="eastAsia" w:ascii="微软雅黑" w:hAnsi="微软雅黑" w:eastAsia="微软雅黑" w:cs="微软雅黑"/>
                <w:i w:val="0"/>
                <w:iCs w:val="0"/>
                <w:caps w:val="0"/>
                <w:color w:val="333333"/>
                <w:spacing w:val="0"/>
                <w:sz w:val="21"/>
                <w:szCs w:val="21"/>
              </w:rPr>
            </w:pPr>
          </w:p>
        </w:tc>
        <w:tc>
          <w:tcPr>
            <w:tcW w:w="649" w:type="dxa"/>
            <w:tcBorders>
              <w:top w:val="nil"/>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结果</w:t>
            </w:r>
            <w:r>
              <w:rPr>
                <w:rFonts w:hint="eastAsia" w:ascii="宋体" w:hAnsi="宋体" w:eastAsia="宋体" w:cs="宋体"/>
                <w:i w:val="0"/>
                <w:iCs w:val="0"/>
                <w:caps w:val="0"/>
                <w:color w:val="333333"/>
                <w:spacing w:val="0"/>
                <w:kern w:val="0"/>
                <w:sz w:val="20"/>
                <w:szCs w:val="20"/>
                <w:bdr w:val="none" w:color="auto" w:sz="0" w:space="0"/>
                <w:lang w:val="en-US" w:eastAsia="zh-CN" w:bidi="ar"/>
              </w:rPr>
              <w:br w:type="textWrapping"/>
            </w:r>
            <w:r>
              <w:rPr>
                <w:rFonts w:hint="eastAsia" w:ascii="宋体" w:hAnsi="宋体" w:eastAsia="宋体" w:cs="宋体"/>
                <w:i w:val="0"/>
                <w:iCs w:val="0"/>
                <w:caps w:val="0"/>
                <w:color w:val="333333"/>
                <w:spacing w:val="0"/>
                <w:kern w:val="0"/>
                <w:sz w:val="20"/>
                <w:szCs w:val="20"/>
                <w:bdr w:val="none" w:color="auto" w:sz="0" w:space="0"/>
                <w:lang w:val="en-US" w:eastAsia="zh-CN" w:bidi="ar"/>
              </w:rPr>
              <w:t>维持</w:t>
            </w:r>
          </w:p>
        </w:tc>
        <w:tc>
          <w:tcPr>
            <w:tcW w:w="649" w:type="dxa"/>
            <w:tcBorders>
              <w:top w:val="nil"/>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结果</w:t>
            </w:r>
            <w:r>
              <w:rPr>
                <w:rFonts w:hint="eastAsia" w:ascii="宋体" w:hAnsi="宋体" w:eastAsia="宋体" w:cs="宋体"/>
                <w:i w:val="0"/>
                <w:iCs w:val="0"/>
                <w:caps w:val="0"/>
                <w:color w:val="333333"/>
                <w:spacing w:val="0"/>
                <w:kern w:val="0"/>
                <w:sz w:val="20"/>
                <w:szCs w:val="20"/>
                <w:bdr w:val="none" w:color="auto" w:sz="0" w:space="0"/>
                <w:lang w:val="en-US" w:eastAsia="zh-CN" w:bidi="ar"/>
              </w:rPr>
              <w:br w:type="textWrapping"/>
            </w:r>
            <w:r>
              <w:rPr>
                <w:rFonts w:hint="eastAsia" w:ascii="宋体" w:hAnsi="宋体" w:eastAsia="宋体" w:cs="宋体"/>
                <w:i w:val="0"/>
                <w:iCs w:val="0"/>
                <w:caps w:val="0"/>
                <w:color w:val="333333"/>
                <w:spacing w:val="0"/>
                <w:kern w:val="0"/>
                <w:sz w:val="20"/>
                <w:szCs w:val="20"/>
                <w:bdr w:val="none" w:color="auto" w:sz="0" w:space="0"/>
                <w:lang w:val="en-US" w:eastAsia="zh-CN" w:bidi="ar"/>
              </w:rPr>
              <w:t>纠正</w:t>
            </w:r>
          </w:p>
        </w:tc>
        <w:tc>
          <w:tcPr>
            <w:tcW w:w="650" w:type="dxa"/>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其他</w:t>
            </w:r>
            <w:r>
              <w:rPr>
                <w:rFonts w:hint="eastAsia" w:ascii="宋体" w:hAnsi="宋体" w:eastAsia="宋体" w:cs="宋体"/>
                <w:i w:val="0"/>
                <w:iCs w:val="0"/>
                <w:caps w:val="0"/>
                <w:color w:val="333333"/>
                <w:spacing w:val="0"/>
                <w:kern w:val="0"/>
                <w:sz w:val="20"/>
                <w:szCs w:val="20"/>
                <w:bdr w:val="none" w:color="auto" w:sz="0" w:space="0"/>
                <w:lang w:val="en-US" w:eastAsia="zh-CN" w:bidi="ar"/>
              </w:rPr>
              <w:br w:type="textWrapping"/>
            </w:r>
            <w:r>
              <w:rPr>
                <w:rFonts w:hint="eastAsia" w:ascii="宋体" w:hAnsi="宋体" w:eastAsia="宋体" w:cs="宋体"/>
                <w:i w:val="0"/>
                <w:iCs w:val="0"/>
                <w:caps w:val="0"/>
                <w:color w:val="333333"/>
                <w:spacing w:val="0"/>
                <w:kern w:val="0"/>
                <w:sz w:val="20"/>
                <w:szCs w:val="20"/>
                <w:bdr w:val="none" w:color="auto" w:sz="0" w:space="0"/>
                <w:lang w:val="en-US" w:eastAsia="zh-CN" w:bidi="ar"/>
              </w:rPr>
              <w:t>结果</w:t>
            </w:r>
          </w:p>
        </w:tc>
        <w:tc>
          <w:tcPr>
            <w:tcW w:w="650" w:type="dxa"/>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尚未</w:t>
            </w:r>
            <w:r>
              <w:rPr>
                <w:rFonts w:hint="eastAsia" w:ascii="宋体" w:hAnsi="宋体" w:eastAsia="宋体" w:cs="宋体"/>
                <w:i w:val="0"/>
                <w:iCs w:val="0"/>
                <w:caps w:val="0"/>
                <w:color w:val="333333"/>
                <w:spacing w:val="0"/>
                <w:kern w:val="0"/>
                <w:sz w:val="20"/>
                <w:szCs w:val="20"/>
                <w:bdr w:val="none" w:color="auto" w:sz="0" w:space="0"/>
                <w:lang w:val="en-US" w:eastAsia="zh-CN" w:bidi="ar"/>
              </w:rPr>
              <w:br w:type="textWrapping"/>
            </w:r>
            <w:r>
              <w:rPr>
                <w:rFonts w:hint="eastAsia" w:ascii="宋体" w:hAnsi="宋体" w:eastAsia="宋体" w:cs="宋体"/>
                <w:i w:val="0"/>
                <w:iCs w:val="0"/>
                <w:caps w:val="0"/>
                <w:color w:val="333333"/>
                <w:spacing w:val="0"/>
                <w:kern w:val="0"/>
                <w:sz w:val="20"/>
                <w:szCs w:val="20"/>
                <w:bdr w:val="none" w:color="auto" w:sz="0" w:space="0"/>
                <w:lang w:val="en-US" w:eastAsia="zh-CN" w:bidi="ar"/>
              </w:rPr>
              <w:t>审结</w:t>
            </w:r>
          </w:p>
        </w:tc>
        <w:tc>
          <w:tcPr>
            <w:tcW w:w="650" w:type="dxa"/>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i w:val="0"/>
                <w:iCs w:val="0"/>
                <w:caps w:val="0"/>
                <w:color w:val="000000"/>
                <w:spacing w:val="0"/>
                <w:kern w:val="0"/>
                <w:sz w:val="20"/>
                <w:szCs w:val="20"/>
                <w:bdr w:val="none" w:color="auto" w:sz="0" w:space="0"/>
                <w:lang w:val="en-US" w:eastAsia="zh-CN" w:bidi="ar"/>
              </w:rPr>
              <w:t>总计</w:t>
            </w:r>
          </w:p>
        </w:tc>
        <w:tc>
          <w:tcPr>
            <w:tcW w:w="650" w:type="dxa"/>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结果</w:t>
            </w:r>
            <w:r>
              <w:rPr>
                <w:rFonts w:hint="eastAsia" w:ascii="宋体" w:hAnsi="宋体" w:eastAsia="宋体" w:cs="宋体"/>
                <w:i w:val="0"/>
                <w:iCs w:val="0"/>
                <w:caps w:val="0"/>
                <w:color w:val="333333"/>
                <w:spacing w:val="0"/>
                <w:kern w:val="0"/>
                <w:sz w:val="20"/>
                <w:szCs w:val="20"/>
                <w:bdr w:val="none" w:color="auto" w:sz="0" w:space="0"/>
                <w:lang w:val="en-US" w:eastAsia="zh-CN" w:bidi="ar"/>
              </w:rPr>
              <w:br w:type="textWrapping"/>
            </w:r>
            <w:r>
              <w:rPr>
                <w:rFonts w:hint="eastAsia" w:ascii="宋体" w:hAnsi="宋体" w:eastAsia="宋体" w:cs="宋体"/>
                <w:i w:val="0"/>
                <w:iCs w:val="0"/>
                <w:caps w:val="0"/>
                <w:color w:val="333333"/>
                <w:spacing w:val="0"/>
                <w:kern w:val="0"/>
                <w:sz w:val="20"/>
                <w:szCs w:val="20"/>
                <w:bdr w:val="none" w:color="auto" w:sz="0" w:space="0"/>
                <w:lang w:val="en-US" w:eastAsia="zh-CN" w:bidi="ar"/>
              </w:rPr>
              <w:t>维持</w:t>
            </w:r>
          </w:p>
        </w:tc>
        <w:tc>
          <w:tcPr>
            <w:tcW w:w="650" w:type="dxa"/>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结果</w:t>
            </w:r>
            <w:r>
              <w:rPr>
                <w:rFonts w:hint="eastAsia" w:ascii="宋体" w:hAnsi="宋体" w:eastAsia="宋体" w:cs="宋体"/>
                <w:i w:val="0"/>
                <w:iCs w:val="0"/>
                <w:caps w:val="0"/>
                <w:color w:val="333333"/>
                <w:spacing w:val="0"/>
                <w:kern w:val="0"/>
                <w:sz w:val="20"/>
                <w:szCs w:val="20"/>
                <w:bdr w:val="none" w:color="auto" w:sz="0" w:space="0"/>
                <w:lang w:val="en-US" w:eastAsia="zh-CN" w:bidi="ar"/>
              </w:rPr>
              <w:br w:type="textWrapping"/>
            </w:r>
            <w:r>
              <w:rPr>
                <w:rFonts w:hint="eastAsia" w:ascii="宋体" w:hAnsi="宋体" w:eastAsia="宋体" w:cs="宋体"/>
                <w:i w:val="0"/>
                <w:iCs w:val="0"/>
                <w:caps w:val="0"/>
                <w:color w:val="333333"/>
                <w:spacing w:val="0"/>
                <w:kern w:val="0"/>
                <w:sz w:val="20"/>
                <w:szCs w:val="20"/>
                <w:bdr w:val="none" w:color="auto" w:sz="0" w:space="0"/>
                <w:lang w:val="en-US" w:eastAsia="zh-CN" w:bidi="ar"/>
              </w:rPr>
              <w:t>纠正</w:t>
            </w:r>
          </w:p>
        </w:tc>
        <w:tc>
          <w:tcPr>
            <w:tcW w:w="650" w:type="dxa"/>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i w:val="0"/>
                <w:iCs w:val="0"/>
                <w:caps w:val="0"/>
                <w:color w:val="000000"/>
                <w:spacing w:val="0"/>
                <w:kern w:val="0"/>
                <w:sz w:val="20"/>
                <w:szCs w:val="20"/>
                <w:bdr w:val="none" w:color="auto" w:sz="0" w:space="0"/>
                <w:lang w:val="en-US" w:eastAsia="zh-CN" w:bidi="ar"/>
              </w:rPr>
              <w:t>其他</w:t>
            </w:r>
            <w:r>
              <w:rPr>
                <w:rFonts w:hint="eastAsia" w:ascii="宋体" w:hAnsi="宋体" w:eastAsia="宋体" w:cs="宋体"/>
                <w:i w:val="0"/>
                <w:iCs w:val="0"/>
                <w:caps w:val="0"/>
                <w:color w:val="000000"/>
                <w:spacing w:val="0"/>
                <w:kern w:val="0"/>
                <w:sz w:val="20"/>
                <w:szCs w:val="20"/>
                <w:bdr w:val="none" w:color="auto" w:sz="0" w:space="0"/>
                <w:lang w:val="en-US" w:eastAsia="zh-CN" w:bidi="ar"/>
              </w:rPr>
              <w:br w:type="textWrapping"/>
            </w:r>
            <w:r>
              <w:rPr>
                <w:rFonts w:hint="eastAsia" w:ascii="宋体" w:hAnsi="宋体" w:eastAsia="宋体" w:cs="宋体"/>
                <w:i w:val="0"/>
                <w:iCs w:val="0"/>
                <w:caps w:val="0"/>
                <w:color w:val="000000"/>
                <w:spacing w:val="0"/>
                <w:kern w:val="0"/>
                <w:sz w:val="20"/>
                <w:szCs w:val="20"/>
                <w:bdr w:val="none" w:color="auto" w:sz="0" w:space="0"/>
                <w:lang w:val="en-US" w:eastAsia="zh-CN" w:bidi="ar"/>
              </w:rPr>
              <w:t>结果</w:t>
            </w:r>
          </w:p>
        </w:tc>
        <w:tc>
          <w:tcPr>
            <w:tcW w:w="650" w:type="dxa"/>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尚未</w:t>
            </w:r>
            <w:r>
              <w:rPr>
                <w:rFonts w:hint="eastAsia" w:ascii="宋体" w:hAnsi="宋体" w:eastAsia="宋体" w:cs="宋体"/>
                <w:i w:val="0"/>
                <w:iCs w:val="0"/>
                <w:caps w:val="0"/>
                <w:color w:val="333333"/>
                <w:spacing w:val="0"/>
                <w:kern w:val="0"/>
                <w:sz w:val="20"/>
                <w:szCs w:val="20"/>
                <w:bdr w:val="none" w:color="auto" w:sz="0" w:space="0"/>
                <w:lang w:val="en-US" w:eastAsia="zh-CN" w:bidi="ar"/>
              </w:rPr>
              <w:br w:type="textWrapping"/>
            </w:r>
            <w:r>
              <w:rPr>
                <w:rFonts w:hint="eastAsia" w:ascii="宋体" w:hAnsi="宋体" w:eastAsia="宋体" w:cs="宋体"/>
                <w:i w:val="0"/>
                <w:iCs w:val="0"/>
                <w:caps w:val="0"/>
                <w:color w:val="333333"/>
                <w:spacing w:val="0"/>
                <w:kern w:val="0"/>
                <w:sz w:val="20"/>
                <w:szCs w:val="20"/>
                <w:bdr w:val="none" w:color="auto" w:sz="0" w:space="0"/>
                <w:lang w:val="en-US" w:eastAsia="zh-CN" w:bidi="ar"/>
              </w:rPr>
              <w:t>审结</w:t>
            </w:r>
          </w:p>
        </w:tc>
        <w:tc>
          <w:tcPr>
            <w:tcW w:w="650" w:type="dxa"/>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i w:val="0"/>
                <w:iCs w:val="0"/>
                <w:caps w:val="0"/>
                <w:color w:val="000000"/>
                <w:spacing w:val="0"/>
                <w:kern w:val="0"/>
                <w:sz w:val="20"/>
                <w:szCs w:val="20"/>
                <w:bdr w:val="none" w:color="auto" w:sz="0" w:space="0"/>
                <w:lang w:val="en-US" w:eastAsia="zh-CN" w:bidi="ar"/>
              </w:rPr>
              <w:t>总计</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512" w:hRule="atLeast"/>
        </w:trPr>
        <w:tc>
          <w:tcPr>
            <w:tcW w:w="649"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 </w:t>
            </w:r>
            <w:r>
              <w:rPr>
                <w:rFonts w:hint="eastAsia" w:ascii="黑体" w:hAnsi="宋体" w:eastAsia="黑体" w:cs="黑体"/>
                <w:i w:val="0"/>
                <w:iCs w:val="0"/>
                <w:caps w:val="0"/>
                <w:color w:val="333333"/>
                <w:spacing w:val="0"/>
                <w:kern w:val="0"/>
                <w:sz w:val="20"/>
                <w:szCs w:val="20"/>
                <w:bdr w:val="none" w:color="auto" w:sz="0" w:space="0"/>
                <w:lang w:val="en-US" w:eastAsia="zh-CN" w:bidi="ar"/>
              </w:rPr>
              <w:t>0</w:t>
            </w:r>
          </w:p>
        </w:tc>
        <w:tc>
          <w:tcPr>
            <w:tcW w:w="649" w:type="dxa"/>
            <w:tcBorders>
              <w:top w:val="nil"/>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 </w:t>
            </w:r>
            <w:r>
              <w:rPr>
                <w:rFonts w:hint="eastAsia" w:ascii="黑体" w:hAnsi="宋体" w:eastAsia="黑体" w:cs="黑体"/>
                <w:i w:val="0"/>
                <w:iCs w:val="0"/>
                <w:caps w:val="0"/>
                <w:color w:val="333333"/>
                <w:spacing w:val="0"/>
                <w:kern w:val="0"/>
                <w:sz w:val="20"/>
                <w:szCs w:val="20"/>
                <w:bdr w:val="none" w:color="auto" w:sz="0" w:space="0"/>
                <w:lang w:val="en-US" w:eastAsia="zh-CN" w:bidi="ar"/>
              </w:rPr>
              <w:t>0</w:t>
            </w:r>
          </w:p>
        </w:tc>
        <w:tc>
          <w:tcPr>
            <w:tcW w:w="649" w:type="dxa"/>
            <w:tcBorders>
              <w:top w:val="nil"/>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 </w:t>
            </w:r>
            <w:r>
              <w:rPr>
                <w:rFonts w:hint="eastAsia" w:ascii="黑体" w:hAnsi="宋体" w:eastAsia="黑体" w:cs="黑体"/>
                <w:i w:val="0"/>
                <w:iCs w:val="0"/>
                <w:caps w:val="0"/>
                <w:color w:val="333333"/>
                <w:spacing w:val="0"/>
                <w:kern w:val="0"/>
                <w:sz w:val="20"/>
                <w:szCs w:val="20"/>
                <w:bdr w:val="none" w:color="auto" w:sz="0" w:space="0"/>
                <w:lang w:val="en-US" w:eastAsia="zh-CN" w:bidi="ar"/>
              </w:rPr>
              <w:t>0</w:t>
            </w:r>
          </w:p>
        </w:tc>
        <w:tc>
          <w:tcPr>
            <w:tcW w:w="649" w:type="dxa"/>
            <w:tcBorders>
              <w:top w:val="nil"/>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黑体" w:hAnsi="宋体" w:eastAsia="黑体" w:cs="黑体"/>
                <w:i w:val="0"/>
                <w:iCs w:val="0"/>
                <w:caps w:val="0"/>
                <w:color w:val="333333"/>
                <w:spacing w:val="0"/>
                <w:kern w:val="0"/>
                <w:sz w:val="20"/>
                <w:szCs w:val="20"/>
                <w:bdr w:val="none" w:color="auto" w:sz="0" w:space="0"/>
                <w:lang w:val="en-US" w:eastAsia="zh-CN" w:bidi="ar"/>
              </w:rPr>
              <w:t>0</w:t>
            </w:r>
            <w:r>
              <w:rPr>
                <w:rFonts w:hint="eastAsia" w:ascii="宋体" w:hAnsi="宋体" w:eastAsia="宋体" w:cs="宋体"/>
                <w:i w:val="0"/>
                <w:iCs w:val="0"/>
                <w:caps w:val="0"/>
                <w:color w:val="333333"/>
                <w:spacing w:val="0"/>
                <w:kern w:val="0"/>
                <w:sz w:val="20"/>
                <w:szCs w:val="20"/>
                <w:bdr w:val="none" w:color="auto" w:sz="0" w:space="0"/>
                <w:lang w:val="en-US" w:eastAsia="zh-CN" w:bidi="ar"/>
              </w:rPr>
              <w:t> </w:t>
            </w:r>
          </w:p>
        </w:tc>
        <w:tc>
          <w:tcPr>
            <w:tcW w:w="649" w:type="dxa"/>
            <w:tcBorders>
              <w:top w:val="nil"/>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 </w:t>
            </w:r>
            <w:r>
              <w:rPr>
                <w:rFonts w:hint="eastAsia" w:ascii="黑体" w:hAnsi="宋体" w:eastAsia="黑体" w:cs="黑体"/>
                <w:i w:val="0"/>
                <w:iCs w:val="0"/>
                <w:caps w:val="0"/>
                <w:color w:val="333333"/>
                <w:spacing w:val="0"/>
                <w:kern w:val="0"/>
                <w:sz w:val="20"/>
                <w:szCs w:val="20"/>
                <w:bdr w:val="none" w:color="auto" w:sz="0" w:space="0"/>
                <w:lang w:val="en-US" w:eastAsia="zh-CN" w:bidi="ar"/>
              </w:rPr>
              <w:t>0</w:t>
            </w:r>
          </w:p>
        </w:tc>
        <w:tc>
          <w:tcPr>
            <w:tcW w:w="649" w:type="dxa"/>
            <w:tcBorders>
              <w:top w:val="nil"/>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黑体" w:hAnsi="宋体" w:eastAsia="黑体" w:cs="黑体"/>
                <w:i w:val="0"/>
                <w:iCs w:val="0"/>
                <w:caps w:val="0"/>
                <w:color w:val="333333"/>
                <w:spacing w:val="0"/>
                <w:kern w:val="0"/>
                <w:sz w:val="20"/>
                <w:szCs w:val="20"/>
                <w:bdr w:val="none" w:color="auto" w:sz="0" w:space="0"/>
                <w:lang w:val="en-US" w:eastAsia="zh-CN" w:bidi="ar"/>
              </w:rPr>
              <w:t>0</w:t>
            </w:r>
            <w:r>
              <w:rPr>
                <w:rFonts w:hint="eastAsia" w:ascii="宋体" w:hAnsi="宋体" w:eastAsia="宋体" w:cs="宋体"/>
                <w:i w:val="0"/>
                <w:iCs w:val="0"/>
                <w:caps w:val="0"/>
                <w:color w:val="333333"/>
                <w:spacing w:val="0"/>
                <w:kern w:val="0"/>
                <w:sz w:val="20"/>
                <w:szCs w:val="20"/>
                <w:bdr w:val="none" w:color="auto" w:sz="0" w:space="0"/>
                <w:lang w:val="en-US" w:eastAsia="zh-CN" w:bidi="ar"/>
              </w:rPr>
              <w:t> </w:t>
            </w:r>
          </w:p>
        </w:tc>
        <w:tc>
          <w:tcPr>
            <w:tcW w:w="649" w:type="dxa"/>
            <w:tcBorders>
              <w:top w:val="nil"/>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 </w:t>
            </w:r>
            <w:r>
              <w:rPr>
                <w:rFonts w:hint="eastAsia" w:ascii="黑体" w:hAnsi="宋体" w:eastAsia="黑体" w:cs="黑体"/>
                <w:i w:val="0"/>
                <w:iCs w:val="0"/>
                <w:caps w:val="0"/>
                <w:color w:val="333333"/>
                <w:spacing w:val="0"/>
                <w:kern w:val="0"/>
                <w:sz w:val="20"/>
                <w:szCs w:val="20"/>
                <w:bdr w:val="none" w:color="auto" w:sz="0" w:space="0"/>
                <w:lang w:val="en-US" w:eastAsia="zh-CN" w:bidi="ar"/>
              </w:rPr>
              <w:t>0</w:t>
            </w:r>
          </w:p>
        </w:tc>
        <w:tc>
          <w:tcPr>
            <w:tcW w:w="650" w:type="dxa"/>
            <w:tcBorders>
              <w:top w:val="nil"/>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黑体" w:hAnsi="宋体" w:eastAsia="黑体" w:cs="黑体"/>
                <w:i w:val="0"/>
                <w:iCs w:val="0"/>
                <w:caps w:val="0"/>
                <w:color w:val="333333"/>
                <w:spacing w:val="0"/>
                <w:kern w:val="0"/>
                <w:sz w:val="20"/>
                <w:szCs w:val="20"/>
                <w:bdr w:val="none" w:color="auto" w:sz="0" w:space="0"/>
                <w:lang w:val="en-US" w:eastAsia="zh-CN" w:bidi="ar"/>
              </w:rPr>
              <w:t>0</w:t>
            </w:r>
            <w:r>
              <w:rPr>
                <w:rFonts w:hint="eastAsia" w:ascii="宋体" w:hAnsi="宋体" w:eastAsia="宋体" w:cs="宋体"/>
                <w:i w:val="0"/>
                <w:iCs w:val="0"/>
                <w:caps w:val="0"/>
                <w:color w:val="333333"/>
                <w:spacing w:val="0"/>
                <w:kern w:val="0"/>
                <w:sz w:val="20"/>
                <w:szCs w:val="20"/>
                <w:bdr w:val="none" w:color="auto" w:sz="0" w:space="0"/>
                <w:lang w:val="en-US" w:eastAsia="zh-CN" w:bidi="ar"/>
              </w:rPr>
              <w:t> </w:t>
            </w:r>
          </w:p>
        </w:tc>
        <w:tc>
          <w:tcPr>
            <w:tcW w:w="650" w:type="dxa"/>
            <w:tcBorders>
              <w:top w:val="nil"/>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 </w:t>
            </w:r>
            <w:r>
              <w:rPr>
                <w:rFonts w:hint="eastAsia" w:ascii="黑体" w:hAnsi="宋体" w:eastAsia="黑体" w:cs="黑体"/>
                <w:i w:val="0"/>
                <w:iCs w:val="0"/>
                <w:caps w:val="0"/>
                <w:color w:val="333333"/>
                <w:spacing w:val="0"/>
                <w:kern w:val="0"/>
                <w:sz w:val="20"/>
                <w:szCs w:val="20"/>
                <w:bdr w:val="none" w:color="auto" w:sz="0" w:space="0"/>
                <w:lang w:val="en-US" w:eastAsia="zh-CN" w:bidi="ar"/>
              </w:rPr>
              <w:t>0</w:t>
            </w:r>
          </w:p>
        </w:tc>
        <w:tc>
          <w:tcPr>
            <w:tcW w:w="650" w:type="dxa"/>
            <w:tcBorders>
              <w:top w:val="nil"/>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 </w:t>
            </w:r>
            <w:r>
              <w:rPr>
                <w:rFonts w:hint="eastAsia" w:ascii="黑体" w:hAnsi="宋体" w:eastAsia="黑体" w:cs="黑体"/>
                <w:i w:val="0"/>
                <w:iCs w:val="0"/>
                <w:caps w:val="0"/>
                <w:color w:val="333333"/>
                <w:spacing w:val="0"/>
                <w:kern w:val="0"/>
                <w:sz w:val="20"/>
                <w:szCs w:val="20"/>
                <w:bdr w:val="none" w:color="auto" w:sz="0" w:space="0"/>
                <w:lang w:val="en-US" w:eastAsia="zh-CN" w:bidi="ar"/>
              </w:rPr>
              <w:t>0</w:t>
            </w:r>
          </w:p>
        </w:tc>
        <w:tc>
          <w:tcPr>
            <w:tcW w:w="650" w:type="dxa"/>
            <w:tcBorders>
              <w:top w:val="nil"/>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 </w:t>
            </w:r>
            <w:r>
              <w:rPr>
                <w:rFonts w:hint="eastAsia" w:ascii="黑体" w:hAnsi="宋体" w:eastAsia="黑体" w:cs="黑体"/>
                <w:i w:val="0"/>
                <w:iCs w:val="0"/>
                <w:caps w:val="0"/>
                <w:color w:val="333333"/>
                <w:spacing w:val="0"/>
                <w:kern w:val="0"/>
                <w:sz w:val="20"/>
                <w:szCs w:val="20"/>
                <w:bdr w:val="none" w:color="auto" w:sz="0" w:space="0"/>
                <w:lang w:val="en-US" w:eastAsia="zh-CN" w:bidi="ar"/>
              </w:rPr>
              <w:t>0</w:t>
            </w:r>
          </w:p>
        </w:tc>
        <w:tc>
          <w:tcPr>
            <w:tcW w:w="650" w:type="dxa"/>
            <w:tcBorders>
              <w:top w:val="nil"/>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 </w:t>
            </w:r>
            <w:r>
              <w:rPr>
                <w:rFonts w:hint="eastAsia" w:ascii="黑体" w:hAnsi="宋体" w:eastAsia="黑体" w:cs="黑体"/>
                <w:i w:val="0"/>
                <w:iCs w:val="0"/>
                <w:caps w:val="0"/>
                <w:color w:val="333333"/>
                <w:spacing w:val="0"/>
                <w:kern w:val="0"/>
                <w:sz w:val="20"/>
                <w:szCs w:val="20"/>
                <w:bdr w:val="none" w:color="auto" w:sz="0" w:space="0"/>
                <w:lang w:val="en-US" w:eastAsia="zh-CN" w:bidi="ar"/>
              </w:rPr>
              <w:t>0</w:t>
            </w:r>
          </w:p>
        </w:tc>
        <w:tc>
          <w:tcPr>
            <w:tcW w:w="650" w:type="dxa"/>
            <w:tcBorders>
              <w:top w:val="nil"/>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 </w:t>
            </w:r>
            <w:r>
              <w:rPr>
                <w:rFonts w:hint="eastAsia" w:ascii="黑体" w:hAnsi="宋体" w:eastAsia="黑体" w:cs="黑体"/>
                <w:i w:val="0"/>
                <w:iCs w:val="0"/>
                <w:caps w:val="0"/>
                <w:color w:val="333333"/>
                <w:spacing w:val="0"/>
                <w:kern w:val="0"/>
                <w:sz w:val="20"/>
                <w:szCs w:val="20"/>
                <w:bdr w:val="none" w:color="auto" w:sz="0" w:space="0"/>
                <w:lang w:val="en-US" w:eastAsia="zh-CN" w:bidi="ar"/>
              </w:rPr>
              <w:t>0</w:t>
            </w:r>
          </w:p>
        </w:tc>
        <w:tc>
          <w:tcPr>
            <w:tcW w:w="650" w:type="dxa"/>
            <w:tcBorders>
              <w:top w:val="nil"/>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0"/>
              <w:jc w:val="center"/>
            </w:pPr>
            <w:r>
              <w:rPr>
                <w:rFonts w:hint="eastAsia" w:ascii="宋体" w:hAnsi="宋体" w:eastAsia="宋体" w:cs="宋体"/>
                <w:i w:val="0"/>
                <w:iCs w:val="0"/>
                <w:caps w:val="0"/>
                <w:color w:val="333333"/>
                <w:spacing w:val="0"/>
                <w:kern w:val="0"/>
                <w:sz w:val="20"/>
                <w:szCs w:val="20"/>
                <w:bdr w:val="none" w:color="auto" w:sz="0" w:space="0"/>
                <w:lang w:val="en-US" w:eastAsia="zh-CN" w:bidi="ar"/>
              </w:rPr>
              <w:t> </w:t>
            </w:r>
            <w:r>
              <w:rPr>
                <w:rFonts w:hint="eastAsia" w:ascii="黑体" w:hAnsi="宋体" w:eastAsia="黑体" w:cs="黑体"/>
                <w:i w:val="0"/>
                <w:iCs w:val="0"/>
                <w:caps w:val="0"/>
                <w:color w:val="333333"/>
                <w:spacing w:val="0"/>
                <w:kern w:val="0"/>
                <w:sz w:val="20"/>
                <w:szCs w:val="20"/>
                <w:bdr w:val="none" w:color="auto" w:sz="0" w:space="0"/>
                <w:lang w:val="en-US" w:eastAsia="zh-CN" w:bidi="ar"/>
              </w:rPr>
              <w:t>0</w:t>
            </w:r>
          </w:p>
        </w:tc>
        <w:tc>
          <w:tcPr>
            <w:tcW w:w="650" w:type="dxa"/>
            <w:tcBorders>
              <w:top w:val="nil"/>
              <w:left w:val="nil"/>
              <w:bottom w:val="single" w:color="auto" w:sz="8" w:space="0"/>
              <w:right w:val="single" w:color="auto" w:sz="8" w:space="0"/>
            </w:tcBorders>
            <w:shd w:val="clear" w:color="auto" w:fill="FFFFFF"/>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pPr>
            <w:r>
              <w:rPr>
                <w:rFonts w:hint="eastAsia" w:ascii="宋体" w:hAnsi="宋体" w:eastAsia="宋体" w:cs="宋体"/>
                <w:i w:val="0"/>
                <w:iCs w:val="0"/>
                <w:caps w:val="0"/>
                <w:color w:val="333333"/>
                <w:spacing w:val="0"/>
                <w:kern w:val="0"/>
                <w:sz w:val="24"/>
                <w:szCs w:val="24"/>
                <w:bdr w:val="none" w:color="auto" w:sz="0" w:space="0"/>
                <w:lang w:val="en-US" w:eastAsia="zh-CN" w:bidi="ar"/>
              </w:rPr>
              <w:t>0</w:t>
            </w:r>
          </w:p>
        </w:tc>
      </w:tr>
    </w:tbl>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微软雅黑" w:hAnsi="微软雅黑" w:eastAsia="微软雅黑" w:cs="微软雅黑"/>
          <w:i w:val="0"/>
          <w:iCs w:val="0"/>
          <w:caps w:val="0"/>
          <w:color w:val="333333"/>
          <w:spacing w:val="0"/>
          <w:sz w:val="21"/>
          <w:szCs w:val="21"/>
        </w:rPr>
      </w:pPr>
      <w:r>
        <w:rPr>
          <w:rFonts w:hint="eastAsia" w:ascii="黑体" w:hAnsi="宋体" w:eastAsia="黑体" w:cs="黑体"/>
          <w:i w:val="0"/>
          <w:iCs w:val="0"/>
          <w:caps w:val="0"/>
          <w:color w:val="000000"/>
          <w:spacing w:val="0"/>
          <w:kern w:val="0"/>
          <w:sz w:val="32"/>
          <w:szCs w:val="32"/>
          <w:bdr w:val="none" w:color="auto" w:sz="0" w:space="0"/>
          <w:shd w:val="clear" w:fill="FFFFFF"/>
          <w:lang w:val="en-US" w:eastAsia="zh-CN" w:bidi="ar"/>
        </w:rPr>
        <w:t>五、存在的主要问题及改进情况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微软雅黑" w:hAnsi="微软雅黑" w:eastAsia="微软雅黑" w:cs="微软雅黑"/>
          <w:i w:val="0"/>
          <w:iCs w:val="0"/>
          <w:caps w:val="0"/>
          <w:color w:val="333333"/>
          <w:spacing w:val="0"/>
          <w:sz w:val="21"/>
          <w:szCs w:val="21"/>
        </w:rPr>
      </w:pPr>
      <w:r>
        <w:rPr>
          <w:rFonts w:hint="eastAsia" w:ascii="仿宋_GB2312" w:hAnsi="微软雅黑" w:eastAsia="仿宋_GB2312" w:cs="仿宋_GB2312"/>
          <w:i w:val="0"/>
          <w:iCs w:val="0"/>
          <w:caps w:val="0"/>
          <w:color w:val="000000"/>
          <w:spacing w:val="0"/>
          <w:kern w:val="0"/>
          <w:sz w:val="32"/>
          <w:szCs w:val="32"/>
          <w:bdr w:val="none" w:color="auto" w:sz="0" w:space="0"/>
          <w:shd w:val="clear" w:fill="FFFFFF"/>
          <w:lang w:val="en-US" w:eastAsia="zh-CN" w:bidi="ar"/>
        </w:rPr>
        <w:t>2021年，我局在政务公开工作上取得了一定的成绩，但仍存在问题和不足，主要是：一是公开的质量还有待提高，不能满足新形势下的信息服务工作；二是群众对我们政务公开平台关注度还不够，影响面还不广；三是部分机关干部自觉公开信息的意识还未形成，还需继续培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微软雅黑" w:hAnsi="微软雅黑" w:eastAsia="微软雅黑" w:cs="微软雅黑"/>
          <w:i w:val="0"/>
          <w:iCs w:val="0"/>
          <w:caps w:val="0"/>
          <w:color w:val="333333"/>
          <w:spacing w:val="0"/>
          <w:sz w:val="21"/>
          <w:szCs w:val="21"/>
        </w:rPr>
      </w:pPr>
      <w:r>
        <w:rPr>
          <w:rFonts w:hint="eastAsia" w:ascii="仿宋_GB2312" w:hAnsi="微软雅黑" w:eastAsia="仿宋_GB2312" w:cs="仿宋_GB2312"/>
          <w:i w:val="0"/>
          <w:iCs w:val="0"/>
          <w:caps w:val="0"/>
          <w:color w:val="000000"/>
          <w:spacing w:val="0"/>
          <w:kern w:val="0"/>
          <w:sz w:val="32"/>
          <w:szCs w:val="32"/>
          <w:bdr w:val="none" w:color="auto" w:sz="0" w:space="0"/>
          <w:shd w:val="clear" w:fill="FFFFFF"/>
          <w:lang w:val="en-US" w:eastAsia="zh-CN" w:bidi="ar"/>
        </w:rPr>
        <w:t>下一步，我局将严格按照《政务公开工作条例》和市、县政务公开工作部署安排，不断深化重点领域信息公开，加大政策解读回应力度，完善政务公开工作机制，提升政务公开工作质量，助力我县经济持续健康发展和社会大局稳定。</w:t>
      </w:r>
      <w:r>
        <w:rPr>
          <w:rFonts w:hint="eastAsia" w:ascii="仿宋_GB2312" w:hAnsi="微软雅黑" w:eastAsia="仿宋_GB2312" w:cs="仿宋_GB2312"/>
          <w:b/>
          <w:bCs/>
          <w:i w:val="0"/>
          <w:iCs w:val="0"/>
          <w:caps w:val="0"/>
          <w:color w:val="000000"/>
          <w:spacing w:val="0"/>
          <w:kern w:val="0"/>
          <w:sz w:val="32"/>
          <w:szCs w:val="32"/>
          <w:bdr w:val="none" w:color="auto" w:sz="0" w:space="0"/>
          <w:shd w:val="clear" w:fill="FFFFFF"/>
          <w:lang w:val="en-US" w:eastAsia="zh-CN" w:bidi="ar"/>
        </w:rPr>
        <w:t>一是</w:t>
      </w:r>
      <w:r>
        <w:rPr>
          <w:rFonts w:hint="eastAsia" w:ascii="仿宋_GB2312" w:hAnsi="微软雅黑" w:eastAsia="仿宋_GB2312" w:cs="仿宋_GB2312"/>
          <w:i w:val="0"/>
          <w:iCs w:val="0"/>
          <w:caps w:val="0"/>
          <w:color w:val="000000"/>
          <w:spacing w:val="0"/>
          <w:kern w:val="0"/>
          <w:sz w:val="32"/>
          <w:szCs w:val="32"/>
          <w:bdr w:val="none" w:color="auto" w:sz="0" w:space="0"/>
          <w:shd w:val="clear" w:fill="FFFFFF"/>
          <w:lang w:val="en-US" w:eastAsia="zh-CN" w:bidi="ar"/>
        </w:rPr>
        <w:t>以社会需求为导向，丰富政务公开内容。把涉及人民群众、退役军人切身利益的各类事项作为公开的重点，满足退役军人通过不同载体、不同形式、不同渠道对政策信息的知情权、参与权、表达权和监督权。</w:t>
      </w:r>
      <w:r>
        <w:rPr>
          <w:rFonts w:hint="eastAsia" w:ascii="仿宋_GB2312" w:hAnsi="微软雅黑" w:eastAsia="仿宋_GB2312" w:cs="仿宋_GB2312"/>
          <w:b/>
          <w:bCs/>
          <w:i w:val="0"/>
          <w:iCs w:val="0"/>
          <w:caps w:val="0"/>
          <w:color w:val="000000"/>
          <w:spacing w:val="0"/>
          <w:kern w:val="0"/>
          <w:sz w:val="32"/>
          <w:szCs w:val="32"/>
          <w:bdr w:val="none" w:color="auto" w:sz="0" w:space="0"/>
          <w:shd w:val="clear" w:fill="FFFFFF"/>
          <w:lang w:val="en-US" w:eastAsia="zh-CN" w:bidi="ar"/>
        </w:rPr>
        <w:t>二是</w:t>
      </w:r>
      <w:r>
        <w:rPr>
          <w:rFonts w:hint="eastAsia" w:ascii="仿宋_GB2312" w:hAnsi="微软雅黑" w:eastAsia="仿宋_GB2312" w:cs="仿宋_GB2312"/>
          <w:i w:val="0"/>
          <w:iCs w:val="0"/>
          <w:caps w:val="0"/>
          <w:color w:val="000000"/>
          <w:spacing w:val="0"/>
          <w:kern w:val="0"/>
          <w:sz w:val="32"/>
          <w:szCs w:val="32"/>
          <w:bdr w:val="none" w:color="auto" w:sz="0" w:space="0"/>
          <w:shd w:val="clear" w:fill="FFFFFF"/>
          <w:lang w:val="en-US" w:eastAsia="zh-CN" w:bidi="ar"/>
        </w:rPr>
        <w:t>以贯彻落实《条例》为抓手，加大政务公开力度。积极利用信息化手段，规范政务公开形式和载体，丰富政务公开内容和内涵，拓宽政务公开范围和渠道，加大政务公开深度和广度，重点推进退役军人关注度高的事项公开。</w:t>
      </w:r>
      <w:r>
        <w:rPr>
          <w:rFonts w:hint="eastAsia" w:ascii="仿宋_GB2312" w:hAnsi="微软雅黑" w:eastAsia="仿宋_GB2312" w:cs="仿宋_GB2312"/>
          <w:b/>
          <w:bCs/>
          <w:i w:val="0"/>
          <w:iCs w:val="0"/>
          <w:caps w:val="0"/>
          <w:color w:val="000000"/>
          <w:spacing w:val="0"/>
          <w:kern w:val="0"/>
          <w:sz w:val="32"/>
          <w:szCs w:val="32"/>
          <w:bdr w:val="none" w:color="auto" w:sz="0" w:space="0"/>
          <w:shd w:val="clear" w:fill="FFFFFF"/>
          <w:lang w:val="en-US" w:eastAsia="zh-CN" w:bidi="ar"/>
        </w:rPr>
        <w:t>三是</w:t>
      </w:r>
      <w:r>
        <w:rPr>
          <w:rFonts w:hint="eastAsia" w:ascii="仿宋_GB2312" w:hAnsi="微软雅黑" w:eastAsia="仿宋_GB2312" w:cs="仿宋_GB2312"/>
          <w:i w:val="0"/>
          <w:iCs w:val="0"/>
          <w:caps w:val="0"/>
          <w:color w:val="000000"/>
          <w:spacing w:val="0"/>
          <w:kern w:val="0"/>
          <w:sz w:val="32"/>
          <w:szCs w:val="32"/>
          <w:bdr w:val="none" w:color="auto" w:sz="0" w:space="0"/>
          <w:shd w:val="clear" w:fill="FFFFFF"/>
          <w:lang w:val="en-US" w:eastAsia="zh-CN" w:bidi="ar"/>
        </w:rPr>
        <w:t>以服务群众为目的，加强政务公开基础性工作。积极开展政务公开学习培训工作，不断提升公开整体工作水平；完善公开机制，健全公开制度，落实公开措施，做好公开保障，确保政务公开工作有力有序有效推进落实。</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微软雅黑" w:hAnsi="微软雅黑" w:eastAsia="微软雅黑" w:cs="微软雅黑"/>
          <w:i w:val="0"/>
          <w:iCs w:val="0"/>
          <w:caps w:val="0"/>
          <w:color w:val="333333"/>
          <w:spacing w:val="0"/>
          <w:sz w:val="21"/>
          <w:szCs w:val="21"/>
        </w:rPr>
      </w:pPr>
      <w:r>
        <w:rPr>
          <w:rFonts w:hint="eastAsia" w:ascii="黑体" w:hAnsi="宋体" w:eastAsia="黑体" w:cs="黑体"/>
          <w:i w:val="0"/>
          <w:iCs w:val="0"/>
          <w:caps w:val="0"/>
          <w:color w:val="000000"/>
          <w:spacing w:val="0"/>
          <w:kern w:val="0"/>
          <w:sz w:val="32"/>
          <w:szCs w:val="32"/>
          <w:bdr w:val="none" w:color="auto" w:sz="0" w:space="0"/>
          <w:shd w:val="clear" w:fill="FFFFFF"/>
          <w:lang w:val="en-US" w:eastAsia="zh-CN" w:bidi="ar"/>
        </w:rPr>
        <w:t>六、其他需要报告的事项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微软雅黑" w:hAnsi="微软雅黑" w:eastAsia="微软雅黑" w:cs="微软雅黑"/>
          <w:i w:val="0"/>
          <w:iCs w:val="0"/>
          <w:caps w:val="0"/>
          <w:color w:val="333333"/>
          <w:spacing w:val="0"/>
          <w:sz w:val="21"/>
          <w:szCs w:val="21"/>
        </w:rPr>
      </w:pPr>
      <w:r>
        <w:rPr>
          <w:rFonts w:hint="eastAsia" w:ascii="仿宋_GB2312" w:hAnsi="微软雅黑" w:eastAsia="仿宋_GB2312" w:cs="仿宋_GB2312"/>
          <w:i w:val="0"/>
          <w:iCs w:val="0"/>
          <w:caps w:val="0"/>
          <w:color w:val="333333"/>
          <w:spacing w:val="0"/>
          <w:sz w:val="32"/>
          <w:szCs w:val="32"/>
          <w:bdr w:val="none" w:color="auto" w:sz="0" w:space="0"/>
          <w:shd w:val="clear" w:fill="FFFFFF"/>
        </w:rPr>
        <w:t>按照《国务院办公厅关于印发〈政府信息公开信息处理费管理办法〉的通知》（国办函〔2020〕109号）规定的按件、按量收费标准，本年度没有产生信息公开处理费。</w:t>
      </w:r>
    </w:p>
    <w:p>
      <w:pPr>
        <w:rPr>
          <w:rFonts w:hint="eastAsia"/>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RhMjE3ODZjOTgwOGUxYzljZDliYjBmYmQ1MjRlOTIifQ=="/>
  </w:docVars>
  <w:rsids>
    <w:rsidRoot w:val="00000000"/>
    <w:rsid w:val="008F61C9"/>
    <w:rsid w:val="014277E9"/>
    <w:rsid w:val="021F3E85"/>
    <w:rsid w:val="03CC40A2"/>
    <w:rsid w:val="05316142"/>
    <w:rsid w:val="062412DE"/>
    <w:rsid w:val="08746902"/>
    <w:rsid w:val="08D0236E"/>
    <w:rsid w:val="0D7D7643"/>
    <w:rsid w:val="0D9B597F"/>
    <w:rsid w:val="0E2B7C9A"/>
    <w:rsid w:val="10752E34"/>
    <w:rsid w:val="108174F4"/>
    <w:rsid w:val="112E40FD"/>
    <w:rsid w:val="11F72BAC"/>
    <w:rsid w:val="126F6416"/>
    <w:rsid w:val="12A73DDF"/>
    <w:rsid w:val="13186259"/>
    <w:rsid w:val="13376BF7"/>
    <w:rsid w:val="13B44FA6"/>
    <w:rsid w:val="17377529"/>
    <w:rsid w:val="17DB0822"/>
    <w:rsid w:val="19542F82"/>
    <w:rsid w:val="1A455777"/>
    <w:rsid w:val="1B431124"/>
    <w:rsid w:val="1B5A709B"/>
    <w:rsid w:val="1B612A51"/>
    <w:rsid w:val="1BA10010"/>
    <w:rsid w:val="1BC4062C"/>
    <w:rsid w:val="21865137"/>
    <w:rsid w:val="24C87915"/>
    <w:rsid w:val="270534F8"/>
    <w:rsid w:val="27B26C72"/>
    <w:rsid w:val="27C87753"/>
    <w:rsid w:val="287427F6"/>
    <w:rsid w:val="28AC3933"/>
    <w:rsid w:val="29944174"/>
    <w:rsid w:val="2C046834"/>
    <w:rsid w:val="2C4E0433"/>
    <w:rsid w:val="2D462BBD"/>
    <w:rsid w:val="300E12FD"/>
    <w:rsid w:val="31D75DD7"/>
    <w:rsid w:val="31E87D9A"/>
    <w:rsid w:val="32CB3235"/>
    <w:rsid w:val="34E86876"/>
    <w:rsid w:val="35603FB9"/>
    <w:rsid w:val="3674348F"/>
    <w:rsid w:val="3828122D"/>
    <w:rsid w:val="39160F52"/>
    <w:rsid w:val="3AFF5A36"/>
    <w:rsid w:val="3B08028E"/>
    <w:rsid w:val="3DB644DB"/>
    <w:rsid w:val="3F0D6062"/>
    <w:rsid w:val="428E075D"/>
    <w:rsid w:val="43AA7D4C"/>
    <w:rsid w:val="444E754A"/>
    <w:rsid w:val="45E2445E"/>
    <w:rsid w:val="48175EC3"/>
    <w:rsid w:val="48515D01"/>
    <w:rsid w:val="493068AD"/>
    <w:rsid w:val="4AC333FF"/>
    <w:rsid w:val="4ACD4A74"/>
    <w:rsid w:val="4CC51FEA"/>
    <w:rsid w:val="4D37453D"/>
    <w:rsid w:val="4D590FA1"/>
    <w:rsid w:val="4D690CAC"/>
    <w:rsid w:val="4EC6005A"/>
    <w:rsid w:val="4EDC2669"/>
    <w:rsid w:val="51140295"/>
    <w:rsid w:val="51224493"/>
    <w:rsid w:val="523D1A44"/>
    <w:rsid w:val="53377173"/>
    <w:rsid w:val="56050818"/>
    <w:rsid w:val="5A5A26C6"/>
    <w:rsid w:val="5B061520"/>
    <w:rsid w:val="5B19227D"/>
    <w:rsid w:val="5D2676C8"/>
    <w:rsid w:val="62C96168"/>
    <w:rsid w:val="64EE5A2E"/>
    <w:rsid w:val="66DB62A8"/>
    <w:rsid w:val="66FC47EC"/>
    <w:rsid w:val="67CB54A8"/>
    <w:rsid w:val="6B167A98"/>
    <w:rsid w:val="6BAE1A53"/>
    <w:rsid w:val="6C681425"/>
    <w:rsid w:val="6D3C4B67"/>
    <w:rsid w:val="6E402DA8"/>
    <w:rsid w:val="6F7725BD"/>
    <w:rsid w:val="707372F3"/>
    <w:rsid w:val="707A305C"/>
    <w:rsid w:val="70D54949"/>
    <w:rsid w:val="71202E91"/>
    <w:rsid w:val="72331C45"/>
    <w:rsid w:val="73297876"/>
    <w:rsid w:val="73905F48"/>
    <w:rsid w:val="73A62B0B"/>
    <w:rsid w:val="74395FA7"/>
    <w:rsid w:val="75613233"/>
    <w:rsid w:val="75DA6060"/>
    <w:rsid w:val="766E362B"/>
    <w:rsid w:val="76966DC6"/>
    <w:rsid w:val="76B8148D"/>
    <w:rsid w:val="76DC49C9"/>
    <w:rsid w:val="773C48E2"/>
    <w:rsid w:val="773C5D40"/>
    <w:rsid w:val="778343BC"/>
    <w:rsid w:val="77F25C3E"/>
    <w:rsid w:val="78185527"/>
    <w:rsid w:val="78341A51"/>
    <w:rsid w:val="78F74F7A"/>
    <w:rsid w:val="7981069A"/>
    <w:rsid w:val="7DC01F6D"/>
    <w:rsid w:val="7E095FD9"/>
    <w:rsid w:val="7F6C2AB2"/>
    <w:rsid w:val="7F953022"/>
    <w:rsid w:val="7F9F65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autoRedefine/>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TotalTime>
  <ScaleCrop>false</ScaleCrop>
  <LinksUpToDate>false</LinksUpToDate>
  <CharactersWithSpaces>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2021-12-14T02:29:00Z</dcterms:created>
  <dc:creator>Administrator</dc:creator>
  <cp:lastModifiedBy>Administrator</cp:lastModifiedBy>
  <dcterms:modified xsi:type="dcterms:W3CDTF">2024-07-03T09:24:25Z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DCED981262364F7A9DF858AC7F193BAC</vt:lpwstr>
  </property>
</Properties>
</file>