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ind w:left="0" w:leftChars="0" w:firstLine="0" w:firstLineChars="0"/>
        <w:jc w:val="center"/>
        <w:rPr>
          <w:rFonts w:hint="default" w:ascii="Times New Roman" w:hAnsi="Times New Roman" w:eastAsia="方正小标宋简体" w:cs="Times New Roman"/>
          <w:sz w:val="38"/>
          <w:szCs w:val="38"/>
        </w:rPr>
      </w:pPr>
      <w:r>
        <w:rPr>
          <w:rFonts w:hint="default" w:ascii="Times New Roman" w:hAnsi="Times New Roman" w:eastAsia="方正小标宋简体" w:cs="Times New Roman"/>
          <w:sz w:val="38"/>
          <w:szCs w:val="38"/>
        </w:rPr>
        <w:t>金寨县交通运输局2022年政府信息公开</w:t>
      </w:r>
    </w:p>
    <w:p>
      <w:pPr>
        <w:bidi w:val="0"/>
        <w:ind w:left="0" w:leftChars="0" w:firstLine="0" w:firstLineChars="0"/>
        <w:jc w:val="center"/>
        <w:rPr>
          <w:rFonts w:hint="default" w:ascii="Times New Roman" w:hAnsi="Times New Roman" w:cs="Times New Roman"/>
        </w:rPr>
      </w:pPr>
      <w:r>
        <w:rPr>
          <w:rFonts w:hint="eastAsia" w:ascii="Times New Roman" w:hAnsi="Times New Roman" w:eastAsia="方正小标宋简体" w:cs="Times New Roman"/>
          <w:sz w:val="38"/>
          <w:szCs w:val="38"/>
          <w:lang w:eastAsia="zh-CN"/>
        </w:rPr>
        <w:t>工作</w:t>
      </w:r>
      <w:r>
        <w:rPr>
          <w:rFonts w:hint="default" w:ascii="Times New Roman" w:hAnsi="Times New Roman" w:eastAsia="方正小标宋简体" w:cs="Times New Roman"/>
          <w:sz w:val="38"/>
          <w:szCs w:val="38"/>
        </w:rPr>
        <w:t>年度报告</w:t>
      </w:r>
    </w:p>
    <w:p>
      <w:pPr>
        <w:bidi w:val="0"/>
        <w:rPr>
          <w:rFonts w:hint="default" w:ascii="Times New Roman" w:hAnsi="Times New Roman" w:cs="Times New Roman"/>
        </w:rPr>
      </w:pPr>
      <w:r>
        <w:rPr>
          <w:rFonts w:hint="default" w:ascii="Times New Roman" w:hAnsi="Times New Roman" w:cs="Times New Roman"/>
          <w:lang w:val="en-US" w:eastAsia="zh-CN"/>
        </w:rPr>
        <w:t>本报告依据《中华人民共和国政府信息公开条例》（国务院令第711号)，以下简称新《条例》和《六安市政务公开办公室关于做好政府信息公开年度报告编制和发布工作的通知》(六政务公开办〔2022〕53号)要求编制而成。报告主要包括：总体情况、行政机关主动公开政府信息情况、收到和处理政府信息公开申请情况、政府信息公开行政复议、行政诉讼情况、政府信息公开工作存在的主要问题及改进情况和其他需要报告的事项。本报告中使用数据统计期限为2022年1月1日至12月31日，报告的电子版可在金寨县交通运输局信息公开网（https://www.ahjinzhai.gov.cn/public/content/36024799 ）下载。如对本报告有任何疑问，请与金寨县交通运输局联系（地址：金寨县交通运输局707室，电话：0564—7062038，邮编：237300）。</w:t>
      </w:r>
    </w:p>
    <w:p>
      <w:pPr>
        <w:bidi w:val="0"/>
        <w:rPr>
          <w:rFonts w:hint="default" w:ascii="Times New Roman" w:hAnsi="Times New Roman" w:eastAsia="黑体" w:cs="Times New Roman"/>
        </w:rPr>
      </w:pPr>
      <w:r>
        <w:rPr>
          <w:rFonts w:hint="default" w:ascii="Times New Roman" w:hAnsi="Times New Roman" w:eastAsia="黑体" w:cs="Times New Roman"/>
        </w:rPr>
        <w:t>一、总体情况</w:t>
      </w:r>
    </w:p>
    <w:p>
      <w:pPr>
        <w:bidi w:val="0"/>
        <w:rPr>
          <w:rFonts w:hint="default" w:ascii="Times New Roman" w:hAnsi="Times New Roman" w:cs="Times New Roman"/>
        </w:rPr>
      </w:pPr>
      <w:r>
        <w:rPr>
          <w:rFonts w:hint="default" w:ascii="Times New Roman" w:hAnsi="Times New Roman" w:cs="Times New Roman"/>
          <w:lang w:val="en-US" w:eastAsia="zh-CN"/>
        </w:rPr>
        <w:t>2022年，县交通局坚持及时、高效、便民的工作原则，持续深入推进政府信息公开，进一步提高了政务公开质量和实效。</w:t>
      </w:r>
    </w:p>
    <w:p>
      <w:pPr>
        <w:bidi w:val="0"/>
        <w:rPr>
          <w:rFonts w:hint="default" w:ascii="Times New Roman" w:hAnsi="Times New Roman" w:eastAsia="楷体" w:cs="Times New Roman"/>
          <w:b/>
          <w:bCs/>
        </w:rPr>
      </w:pPr>
      <w:r>
        <w:rPr>
          <w:rFonts w:hint="default" w:ascii="Times New Roman" w:hAnsi="Times New Roman" w:eastAsia="楷体" w:cs="Times New Roman"/>
          <w:b/>
          <w:bCs/>
          <w:lang w:val="en-US" w:eastAsia="zh-CN"/>
        </w:rPr>
        <w:t>（一）主动公开情况</w:t>
      </w:r>
    </w:p>
    <w:p>
      <w:pPr>
        <w:bidi w:val="0"/>
        <w:rPr>
          <w:rFonts w:hint="default" w:ascii="Times New Roman" w:hAnsi="Times New Roman" w:cs="Times New Roman"/>
        </w:rPr>
      </w:pPr>
      <w:r>
        <w:rPr>
          <w:rFonts w:hint="default" w:ascii="Times New Roman" w:hAnsi="Times New Roman" w:cs="Times New Roman"/>
          <w:lang w:val="en-US" w:eastAsia="zh-CN"/>
        </w:rPr>
        <w:t>做好保通保畅。严格防疫信息发布，及时准确公开客运场站、交通运输工具、从业人员疫情防控政策信息以及重点物资运输保障、通行管控政策信息。</w:t>
      </w:r>
    </w:p>
    <w:p>
      <w:pPr>
        <w:bidi w:val="0"/>
        <w:rPr>
          <w:rFonts w:hint="default" w:ascii="Times New Roman" w:hAnsi="Times New Roman" w:cs="Times New Roman"/>
        </w:rPr>
      </w:pPr>
      <w:r>
        <w:rPr>
          <w:rFonts w:hint="default" w:ascii="Times New Roman" w:hAnsi="Times New Roman" w:cs="Times New Roman"/>
          <w:lang w:val="en-US" w:eastAsia="zh-CN"/>
        </w:rPr>
        <w:t>聚焦重点领域。“两化”新增交通运输领域，围绕交通基础设施建设、服务运输保障、助力乡村振兴、减税降费等重点工作，持续加大重点项目全周期管理、综合执法、交通运输更贴近民生实事等重点领域信息的公开力度，实时公开40余件。</w:t>
      </w:r>
    </w:p>
    <w:p>
      <w:pPr>
        <w:bidi w:val="0"/>
        <w:rPr>
          <w:rFonts w:hint="default" w:ascii="Times New Roman" w:hAnsi="Times New Roman" w:cs="Times New Roman"/>
        </w:rPr>
      </w:pPr>
      <w:r>
        <w:rPr>
          <w:rFonts w:hint="default" w:ascii="Times New Roman" w:hAnsi="Times New Roman" w:cs="Times New Roman"/>
          <w:lang w:val="en-US" w:eastAsia="zh-CN"/>
        </w:rPr>
        <w:t>加强政策解读。多角度解读重大政策，多形式提升解读质量，加强实质性内容解读。2022年发布高质量解读30篇。</w:t>
      </w:r>
    </w:p>
    <w:p>
      <w:pPr>
        <w:bidi w:val="0"/>
        <w:rPr>
          <w:rFonts w:hint="default" w:ascii="Times New Roman" w:hAnsi="Times New Roman" w:cs="Times New Roman"/>
        </w:rPr>
      </w:pPr>
      <w:r>
        <w:rPr>
          <w:rFonts w:hint="default" w:ascii="Times New Roman" w:hAnsi="Times New Roman" w:cs="Times New Roman"/>
          <w:lang w:val="en-US" w:eastAsia="zh-CN"/>
        </w:rPr>
        <w:t>规范决策公开。就《金寨县“十四五”交通运输发展规划》等文件制定向社会公开征求意见。并召开新闻发布会，对“十四五”交通运输发展规划进行相关解读。</w:t>
      </w:r>
    </w:p>
    <w:p>
      <w:pPr>
        <w:bidi w:val="0"/>
        <w:rPr>
          <w:rFonts w:hint="default" w:ascii="Times New Roman" w:hAnsi="Times New Roman" w:cs="Times New Roman"/>
        </w:rPr>
      </w:pPr>
      <w:r>
        <w:rPr>
          <w:rFonts w:hint="default" w:ascii="Times New Roman" w:hAnsi="Times New Roman" w:cs="Times New Roman"/>
          <w:lang w:val="en-US" w:eastAsia="zh-CN"/>
        </w:rPr>
        <w:t>主动回应关切。通过新闻发布会、市长热线、12308热线等途径多方位做好舆情回应。全年共开回应社会关切32次。</w:t>
      </w:r>
    </w:p>
    <w:p>
      <w:pPr>
        <w:bidi w:val="0"/>
        <w:rPr>
          <w:rFonts w:hint="default" w:ascii="Times New Roman" w:hAnsi="Times New Roman" w:eastAsia="楷体" w:cs="Times New Roman"/>
          <w:b/>
          <w:bCs/>
        </w:rPr>
      </w:pPr>
      <w:r>
        <w:rPr>
          <w:rFonts w:hint="default" w:ascii="Times New Roman" w:hAnsi="Times New Roman" w:eastAsia="楷体" w:cs="Times New Roman"/>
          <w:b/>
          <w:bCs/>
        </w:rPr>
        <w:t>（二）依申请公开</w:t>
      </w:r>
    </w:p>
    <w:p>
      <w:pPr>
        <w:bidi w:val="0"/>
        <w:rPr>
          <w:rFonts w:hint="default" w:ascii="Times New Roman" w:hAnsi="Times New Roman" w:cs="Times New Roman"/>
        </w:rPr>
      </w:pPr>
      <w:r>
        <w:rPr>
          <w:rFonts w:hint="default" w:ascii="Times New Roman" w:hAnsi="Times New Roman" w:cs="Times New Roman"/>
          <w:lang w:val="en-US" w:eastAsia="zh-CN"/>
        </w:rPr>
        <w:t>依法依规做好政府信息依申请公开的接收、登记、审核、办理、答复等各环节工作。全年办理依申请公开1件，全部按程序和时限予以答复，无依申请公开行政复议和行政诉讼案件产生。</w:t>
      </w:r>
    </w:p>
    <w:p>
      <w:pPr>
        <w:bidi w:val="0"/>
        <w:ind w:firstLine="900"/>
        <w:rPr>
          <w:rFonts w:hint="default" w:ascii="Times New Roman" w:hAnsi="Times New Roman" w:eastAsia="楷体" w:cs="Times New Roman"/>
          <w:b/>
          <w:bCs/>
        </w:rPr>
      </w:pPr>
      <w:r>
        <w:rPr>
          <w:rFonts w:hint="default" w:ascii="Times New Roman" w:hAnsi="Times New Roman" w:eastAsia="楷体" w:cs="Times New Roman"/>
          <w:b/>
          <w:bCs/>
        </w:rPr>
        <w:t>（三）政府信息管理</w:t>
      </w:r>
    </w:p>
    <w:p>
      <w:pPr>
        <w:bidi w:val="0"/>
        <w:rPr>
          <w:rFonts w:hint="default" w:ascii="Times New Roman" w:hAnsi="Times New Roman" w:cs="Times New Roman"/>
        </w:rPr>
      </w:pPr>
      <w:r>
        <w:rPr>
          <w:rFonts w:hint="default" w:ascii="Times New Roman" w:hAnsi="Times New Roman" w:cs="Times New Roman"/>
          <w:lang w:val="en-US" w:eastAsia="zh-CN"/>
        </w:rPr>
        <w:t>严格执行政府信息公开属性源头认定规定、保密审查制度等。做好行政规范性文件集中公开，对3件规范性文件严格按照省级格式标准，列明文号、发布时间、有效性、咨询机关及电话等信息，提供WORD和PDF下载功能。</w:t>
      </w:r>
    </w:p>
    <w:p>
      <w:pPr>
        <w:bidi w:val="0"/>
        <w:ind w:firstLine="900"/>
        <w:rPr>
          <w:rFonts w:hint="default" w:ascii="Times New Roman" w:hAnsi="Times New Roman" w:eastAsia="楷体" w:cs="Times New Roman"/>
          <w:b/>
          <w:bCs/>
        </w:rPr>
      </w:pPr>
      <w:r>
        <w:rPr>
          <w:rFonts w:hint="default" w:ascii="Times New Roman" w:hAnsi="Times New Roman" w:eastAsia="楷体" w:cs="Times New Roman"/>
          <w:b/>
          <w:bCs/>
        </w:rPr>
        <w:t>（四）政府信息公开平台建设</w:t>
      </w:r>
    </w:p>
    <w:p>
      <w:pPr>
        <w:bidi w:val="0"/>
        <w:rPr>
          <w:rFonts w:hint="default" w:ascii="Times New Roman" w:hAnsi="Times New Roman" w:cs="Times New Roman"/>
        </w:rPr>
      </w:pPr>
      <w:r>
        <w:rPr>
          <w:rFonts w:hint="default" w:ascii="Times New Roman" w:hAnsi="Times New Roman" w:cs="Times New Roman"/>
        </w:rPr>
        <w:t>在《关于做好政府信息主动公开目录调整工作的通知》（六政务公开办〔2019〕9号）文件基础上，结合每季度测评指标体系，对照最新版政府信息主动公开基本目录，不断对本单位信息公开栏目进行编制、调整和规范。</w:t>
      </w:r>
    </w:p>
    <w:p>
      <w:pPr>
        <w:bidi w:val="0"/>
        <w:ind w:firstLine="900"/>
        <w:rPr>
          <w:rFonts w:hint="default" w:ascii="Times New Roman" w:hAnsi="Times New Roman" w:eastAsia="楷体" w:cs="Times New Roman"/>
          <w:b/>
          <w:bCs/>
        </w:rPr>
      </w:pPr>
      <w:r>
        <w:rPr>
          <w:rFonts w:hint="default" w:ascii="Times New Roman" w:hAnsi="Times New Roman" w:eastAsia="楷体" w:cs="Times New Roman"/>
          <w:b/>
          <w:bCs/>
        </w:rPr>
        <w:t>（五）监督保障</w:t>
      </w:r>
    </w:p>
    <w:p>
      <w:pPr>
        <w:bidi w:val="0"/>
        <w:rPr>
          <w:rFonts w:hint="default" w:ascii="Times New Roman" w:hAnsi="Times New Roman" w:cs="Times New Roman"/>
        </w:rPr>
      </w:pPr>
      <w:r>
        <w:rPr>
          <w:rFonts w:hint="default" w:ascii="Times New Roman" w:hAnsi="Times New Roman" w:cs="Times New Roman"/>
        </w:rPr>
        <w:t>建立健全政府信息公开审查机制,紧紧围绕公开内容，每月定期对所有公开目录进行巡检，做到查漏补缺，及时更新完善信息，针对各级监测反馈情况，根据不同公开信息的规范要求及时进行整改。</w:t>
      </w:r>
    </w:p>
    <w:p>
      <w:pPr>
        <w:bidi w:val="0"/>
        <w:rPr>
          <w:rFonts w:hint="default" w:ascii="Times New Roman" w:hAnsi="Times New Roman" w:eastAsia="黑体" w:cs="Times New Roman"/>
        </w:rPr>
      </w:pPr>
      <w:r>
        <w:rPr>
          <w:rFonts w:hint="default" w:ascii="Times New Roman" w:hAnsi="Times New Roman" w:eastAsia="黑体" w:cs="Times New Roman"/>
        </w:rPr>
        <w:t>二、主动公开政府信息情况</w:t>
      </w:r>
    </w:p>
    <w:tbl>
      <w:tblPr>
        <w:tblStyle w:val="4"/>
        <w:tblW w:w="92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22"/>
        <w:gridCol w:w="2322"/>
        <w:gridCol w:w="2322"/>
        <w:gridCol w:w="23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宋体" w:cs="Times New Roman"/>
                <w:color w:val="000000"/>
                <w:sz w:val="20"/>
                <w:szCs w:val="20"/>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sz w:val="20"/>
                <w:szCs w:val="20"/>
              </w:rPr>
              <w:t>信息内容</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eastAsia="宋体" w:cs="Times New Roman"/>
                <w:color w:val="000000"/>
                <w:sz w:val="20"/>
                <w:szCs w:val="20"/>
              </w:rPr>
              <w:t>本年制发件数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eastAsia="宋体" w:cs="Times New Roman"/>
                <w:color w:val="000000"/>
                <w:sz w:val="20"/>
                <w:szCs w:val="20"/>
              </w:rPr>
              <w:t>本年废止件数</w:t>
            </w:r>
          </w:p>
        </w:tc>
        <w:tc>
          <w:tcPr>
            <w:tcW w:w="2435"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eastAsia="宋体" w:cs="Times New Roman"/>
                <w:color w:val="000000"/>
                <w:sz w:val="20"/>
                <w:szCs w:val="20"/>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sz w:val="20"/>
                <w:szCs w:val="20"/>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sz w:val="20"/>
                <w:szCs w:val="20"/>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宋体" w:cs="Times New Roman"/>
                <w:color w:val="000000"/>
                <w:sz w:val="20"/>
                <w:szCs w:val="20"/>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eastAsia" w:ascii="Times New Roman" w:hAnsi="Times New Roman" w:eastAsia="仿宋_GB2312" w:cs="Times New Roman"/>
                <w:lang w:eastAsia="zh-CN"/>
              </w:rPr>
            </w:pPr>
            <w:r>
              <w:rPr>
                <w:rFonts w:hint="eastAsia" w:ascii="Times New Roman" w:hAnsi="Times New Roman" w:cs="Times New Roman"/>
                <w:color w:val="000000"/>
                <w:sz w:val="20"/>
                <w:szCs w:val="20"/>
                <w:lang w:val="en-US" w:eastAsia="zh-CN"/>
              </w:rPr>
              <w:t>3</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宋体" w:cs="Times New Roman"/>
                <w:color w:val="000000"/>
                <w:sz w:val="20"/>
                <w:szCs w:val="20"/>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宋体" w:cs="Times New Roman"/>
                <w:color w:val="00000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sz w:val="20"/>
                <w:szCs w:val="20"/>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宋体" w:cs="Times New Roman"/>
                <w:color w:val="000000"/>
                <w:sz w:val="20"/>
                <w:szCs w:val="20"/>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宋体" w:cs="Times New Roman"/>
                <w:color w:val="000000"/>
                <w:sz w:val="20"/>
                <w:szCs w:val="20"/>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sz w:val="20"/>
                <w:szCs w:val="20"/>
              </w:rPr>
              <w:t>信息内容</w:t>
            </w:r>
          </w:p>
        </w:tc>
        <w:tc>
          <w:tcPr>
            <w:tcW w:w="7305" w:type="dxa"/>
            <w:gridSpan w:val="3"/>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宋体" w:cs="Times New Roman"/>
                <w:color w:val="000000"/>
                <w:sz w:val="20"/>
                <w:szCs w:val="20"/>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sz w:val="20"/>
                <w:szCs w:val="20"/>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sz w:val="20"/>
                <w:szCs w:val="20"/>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宋体" w:cs="Times New Roman"/>
                <w:color w:val="000000"/>
                <w:sz w:val="20"/>
                <w:szCs w:val="20"/>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sz w:val="20"/>
                <w:szCs w:val="20"/>
              </w:rPr>
              <w:t>信息内容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宋体" w:cs="Times New Roman"/>
                <w:color w:val="000000"/>
                <w:sz w:val="20"/>
                <w:szCs w:val="20"/>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jc w:val="center"/>
        </w:trPr>
        <w:tc>
          <w:tcPr>
            <w:tcW w:w="2435" w:type="dxa"/>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sz w:val="20"/>
                <w:szCs w:val="20"/>
              </w:rPr>
              <w:t>行政事业性收费</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三、收到和处理政府信息公开申请情况</w:t>
      </w:r>
    </w:p>
    <w:tbl>
      <w:tblPr>
        <w:tblStyle w:val="4"/>
        <w:tblW w:w="9288"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54"/>
        <w:gridCol w:w="714"/>
        <w:gridCol w:w="904"/>
        <w:gridCol w:w="854"/>
        <w:gridCol w:w="954"/>
        <w:gridCol w:w="954"/>
        <w:gridCol w:w="954"/>
        <w:gridCol w:w="954"/>
        <w:gridCol w:w="954"/>
        <w:gridCol w:w="95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330" w:hRule="atLeast"/>
          <w:jc w:val="center"/>
        </w:trPr>
        <w:tc>
          <w:tcPr>
            <w:tcW w:w="4731" w:type="dxa"/>
            <w:gridSpan w:val="3"/>
            <w:vMerge w:val="restart"/>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eastAsia="黑体" w:cs="Times New Roman"/>
                <w:color w:val="000000"/>
                <w:sz w:val="20"/>
                <w:szCs w:val="20"/>
              </w:rPr>
              <w:t>（本列数据的勾稽关系为：第一项加第二项之和，等于第三项加第四项之和）</w:t>
            </w:r>
          </w:p>
        </w:tc>
        <w:tc>
          <w:tcPr>
            <w:tcW w:w="4557" w:type="dxa"/>
            <w:gridSpan w:val="7"/>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黑体" w:cs="Times New Roman"/>
                <w:color w:val="000000"/>
                <w:sz w:val="20"/>
                <w:szCs w:val="20"/>
              </w:rPr>
              <w:t>申请人情况</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47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09" w:type="dxa"/>
            <w:vMerge w:val="restart"/>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rPr>
                <w:rFonts w:hint="default" w:ascii="Times New Roman" w:hAnsi="Times New Roman" w:cs="Times New Roman"/>
              </w:rPr>
            </w:pPr>
            <w:r>
              <w:rPr>
                <w:rFonts w:hint="default" w:ascii="Times New Roman" w:hAnsi="Times New Roman" w:eastAsia="黑体" w:cs="Times New Roman"/>
                <w:color w:val="000000"/>
                <w:spacing w:val="-10"/>
                <w:sz w:val="20"/>
                <w:szCs w:val="20"/>
              </w:rPr>
              <w:t>自然人</w:t>
            </w:r>
          </w:p>
        </w:tc>
        <w:tc>
          <w:tcPr>
            <w:tcW w:w="3290" w:type="dxa"/>
            <w:gridSpan w:val="5"/>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黑体" w:cs="Times New Roman"/>
                <w:color w:val="000000"/>
                <w:sz w:val="20"/>
                <w:szCs w:val="20"/>
              </w:rPr>
              <w:t>法人或其他组织</w:t>
            </w:r>
          </w:p>
        </w:tc>
        <w:tc>
          <w:tcPr>
            <w:tcW w:w="658" w:type="dxa"/>
            <w:vMerge w:val="restart"/>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color w:val="000000"/>
                <w:sz w:val="20"/>
                <w:szCs w:val="2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4731" w:type="dxa"/>
            <w:gridSpan w:val="3"/>
            <w:vMerge w:val="continue"/>
            <w:tcBorders>
              <w:top w:val="single" w:color="auto" w:sz="8" w:space="0"/>
              <w:left w:val="single" w:color="auto" w:sz="8" w:space="0"/>
              <w:bottom w:val="outset"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609" w:type="dxa"/>
            <w:vMerge w:val="continue"/>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65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Times New Roman" w:hAnsi="Times New Roman" w:cs="Times New Roman"/>
              </w:rPr>
            </w:pPr>
            <w:r>
              <w:rPr>
                <w:rFonts w:hint="default" w:ascii="Times New Roman" w:hAnsi="Times New Roman" w:eastAsia="黑体" w:cs="Times New Roman"/>
                <w:color w:val="000000"/>
                <w:sz w:val="20"/>
                <w:szCs w:val="20"/>
              </w:rPr>
              <w:t>商业</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color w:val="000000"/>
                <w:sz w:val="20"/>
                <w:szCs w:val="20"/>
              </w:rPr>
              <w:t>企业</w:t>
            </w:r>
          </w:p>
        </w:tc>
        <w:tc>
          <w:tcPr>
            <w:tcW w:w="65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color w:val="000000"/>
                <w:sz w:val="20"/>
                <w:szCs w:val="20"/>
              </w:rPr>
              <w:t>科研</w:t>
            </w:r>
          </w:p>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color w:val="000000"/>
                <w:sz w:val="20"/>
                <w:szCs w:val="20"/>
              </w:rPr>
              <w:t>机构</w:t>
            </w:r>
          </w:p>
        </w:tc>
        <w:tc>
          <w:tcPr>
            <w:tcW w:w="65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color w:val="000000"/>
                <w:sz w:val="20"/>
                <w:szCs w:val="20"/>
              </w:rPr>
              <w:t>社会公益组织</w:t>
            </w:r>
          </w:p>
        </w:tc>
        <w:tc>
          <w:tcPr>
            <w:tcW w:w="65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color w:val="000000"/>
                <w:sz w:val="20"/>
                <w:szCs w:val="20"/>
              </w:rPr>
              <w:t>法律服务机构</w:t>
            </w:r>
          </w:p>
        </w:tc>
        <w:tc>
          <w:tcPr>
            <w:tcW w:w="658" w:type="dxa"/>
            <w:tcBorders>
              <w:top w:val="single" w:color="auto" w:sz="8" w:space="0"/>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color w:val="000000"/>
                <w:sz w:val="20"/>
                <w:szCs w:val="20"/>
              </w:rPr>
              <w:t>其他</w:t>
            </w:r>
          </w:p>
        </w:tc>
        <w:tc>
          <w:tcPr>
            <w:tcW w:w="65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47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rPr>
                <w:rFonts w:hint="default" w:ascii="Times New Roman" w:hAnsi="Times New Roman" w:cs="Times New Roman"/>
              </w:rPr>
            </w:pPr>
            <w:r>
              <w:rPr>
                <w:rFonts w:hint="default" w:ascii="Times New Roman" w:hAnsi="Times New Roman" w:eastAsia="宋体" w:cs="Times New Roman"/>
                <w:color w:val="000000"/>
                <w:sz w:val="20"/>
                <w:szCs w:val="20"/>
              </w:rPr>
              <w:t>一、本年新收政府信息公开申请数量</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仿宋" w:cs="Times New Roman"/>
                <w:color w:val="000000"/>
                <w:sz w:val="20"/>
                <w:szCs w:val="20"/>
              </w:rPr>
              <w:t>1</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仿宋" w:cs="Times New Roman"/>
                <w:color w:val="000000"/>
                <w:sz w:val="20"/>
                <w:szCs w:val="2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47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rPr>
                <w:rFonts w:hint="default" w:ascii="Times New Roman" w:hAnsi="Times New Roman" w:cs="Times New Roman"/>
              </w:rPr>
            </w:pPr>
            <w:r>
              <w:rPr>
                <w:rFonts w:hint="default" w:ascii="Times New Roman" w:hAnsi="Times New Roman" w:eastAsia="宋体" w:cs="Times New Roman"/>
                <w:color w:val="000000"/>
                <w:sz w:val="20"/>
                <w:szCs w:val="20"/>
              </w:rPr>
              <w:t>二、上年结转政府信息公开申请数量</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restart"/>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rPr>
                <w:rFonts w:hint="default" w:ascii="Times New Roman" w:hAnsi="Times New Roman" w:cs="Times New Roman"/>
              </w:rPr>
            </w:pPr>
            <w:r>
              <w:rPr>
                <w:rFonts w:hint="default" w:ascii="Times New Roman" w:hAnsi="Times New Roman" w:eastAsia="宋体" w:cs="Times New Roman"/>
                <w:color w:val="000000"/>
                <w:sz w:val="20"/>
                <w:szCs w:val="20"/>
              </w:rPr>
              <w:t>三、本年度办理结果</w:t>
            </w:r>
          </w:p>
        </w:tc>
        <w:tc>
          <w:tcPr>
            <w:tcW w:w="398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rPr>
                <w:rFonts w:hint="default" w:ascii="Times New Roman" w:hAnsi="Times New Roman" w:cs="Times New Roman"/>
              </w:rPr>
            </w:pPr>
            <w:r>
              <w:rPr>
                <w:rFonts w:hint="default" w:ascii="Times New Roman" w:hAnsi="Times New Roman" w:eastAsia="宋体" w:cs="Times New Roman"/>
                <w:color w:val="000000"/>
                <w:sz w:val="20"/>
                <w:szCs w:val="20"/>
              </w:rPr>
              <w:t>（一）予以公开</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98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rPr>
                <w:rFonts w:hint="default" w:ascii="Times New Roman" w:hAnsi="Times New Roman" w:cs="Times New Roman"/>
              </w:rPr>
            </w:pPr>
            <w:r>
              <w:rPr>
                <w:rFonts w:hint="default" w:ascii="Times New Roman" w:hAnsi="Times New Roman" w:eastAsia="宋体" w:cs="Times New Roman"/>
                <w:color w:val="000000"/>
                <w:sz w:val="20"/>
                <w:szCs w:val="20"/>
              </w:rPr>
              <w:t>（二）部分公开</w:t>
            </w:r>
            <w:r>
              <w:rPr>
                <w:rFonts w:hint="default" w:ascii="Times New Roman" w:hAnsi="Times New Roman" w:eastAsia="楷体" w:cs="Times New Roman"/>
                <w:color w:val="000000"/>
                <w:sz w:val="20"/>
                <w:szCs w:val="20"/>
              </w:rPr>
              <w:t>（区分处理的，只计这一情形，不计其他情形）</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restart"/>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rPr>
                <w:rFonts w:hint="default" w:ascii="Times New Roman" w:hAnsi="Times New Roman" w:cs="Times New Roman"/>
              </w:rPr>
            </w:pPr>
            <w:r>
              <w:rPr>
                <w:rFonts w:hint="default" w:ascii="Times New Roman" w:hAnsi="Times New Roman" w:eastAsia="宋体" w:cs="Times New Roman"/>
                <w:color w:val="000000"/>
                <w:sz w:val="20"/>
                <w:szCs w:val="20"/>
              </w:rPr>
              <w:t>（三）不予公开</w:t>
            </w: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right="0"/>
              <w:rPr>
                <w:rFonts w:hint="default" w:ascii="Times New Roman" w:hAnsi="Times New Roman" w:cs="Times New Roman"/>
              </w:rPr>
            </w:pPr>
            <w:r>
              <w:rPr>
                <w:rFonts w:hint="default" w:ascii="Times New Roman" w:hAnsi="Times New Roman" w:cs="Times New Roman"/>
                <w:color w:val="000000"/>
                <w:sz w:val="20"/>
                <w:szCs w:val="20"/>
              </w:rPr>
              <w:t>1.</w:t>
            </w:r>
            <w:r>
              <w:rPr>
                <w:rFonts w:hint="default" w:ascii="Times New Roman" w:hAnsi="Times New Roman" w:eastAsia="宋体" w:cs="Times New Roman"/>
                <w:color w:val="000000"/>
                <w:sz w:val="20"/>
                <w:szCs w:val="20"/>
              </w:rPr>
              <w:t>属于国家秘密</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single" w:color="auto" w:sz="8" w:space="0"/>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2.</w:t>
            </w:r>
            <w:r>
              <w:rPr>
                <w:rFonts w:hint="default" w:ascii="Times New Roman" w:hAnsi="Times New Roman" w:eastAsia="宋体" w:cs="Times New Roman"/>
                <w:color w:val="000000"/>
                <w:sz w:val="20"/>
                <w:szCs w:val="20"/>
              </w:rPr>
              <w:t>其他法律行政法规禁止公开</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3.</w:t>
            </w:r>
            <w:r>
              <w:rPr>
                <w:rFonts w:hint="default" w:ascii="Times New Roman" w:hAnsi="Times New Roman" w:eastAsia="宋体" w:cs="Times New Roman"/>
                <w:color w:val="000000"/>
                <w:sz w:val="20"/>
                <w:szCs w:val="20"/>
              </w:rPr>
              <w:t>危及“三安全一稳定”</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4.</w:t>
            </w:r>
            <w:r>
              <w:rPr>
                <w:rFonts w:hint="default" w:ascii="Times New Roman" w:hAnsi="Times New Roman" w:eastAsia="宋体" w:cs="Times New Roman"/>
                <w:color w:val="000000"/>
                <w:sz w:val="20"/>
                <w:szCs w:val="20"/>
              </w:rPr>
              <w:t>保护第三方合法权益</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5.</w:t>
            </w:r>
            <w:r>
              <w:rPr>
                <w:rFonts w:hint="default" w:ascii="Times New Roman" w:hAnsi="Times New Roman" w:eastAsia="宋体" w:cs="Times New Roman"/>
                <w:color w:val="000000"/>
                <w:sz w:val="20"/>
                <w:szCs w:val="20"/>
              </w:rPr>
              <w:t>属于三类内部事务信息</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6.</w:t>
            </w:r>
            <w:r>
              <w:rPr>
                <w:rFonts w:hint="default" w:ascii="Times New Roman" w:hAnsi="Times New Roman" w:eastAsia="宋体" w:cs="Times New Roman"/>
                <w:color w:val="000000"/>
                <w:sz w:val="20"/>
                <w:szCs w:val="20"/>
              </w:rPr>
              <w:t>属于四类过程性信息</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7.</w:t>
            </w:r>
            <w:r>
              <w:rPr>
                <w:rFonts w:hint="default" w:ascii="Times New Roman" w:hAnsi="Times New Roman" w:eastAsia="宋体" w:cs="Times New Roman"/>
                <w:color w:val="000000"/>
                <w:sz w:val="20"/>
                <w:szCs w:val="20"/>
              </w:rPr>
              <w:t>属于行政执法案卷</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8.</w:t>
            </w:r>
            <w:r>
              <w:rPr>
                <w:rFonts w:hint="default" w:ascii="Times New Roman" w:hAnsi="Times New Roman" w:eastAsia="宋体" w:cs="Times New Roman"/>
                <w:color w:val="000000"/>
                <w:sz w:val="20"/>
                <w:szCs w:val="20"/>
              </w:rPr>
              <w:t>属于行政查询事项</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restart"/>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rPr>
                <w:rFonts w:hint="default" w:ascii="Times New Roman" w:hAnsi="Times New Roman" w:cs="Times New Roman"/>
              </w:rPr>
            </w:pPr>
            <w:r>
              <w:rPr>
                <w:rFonts w:hint="default" w:ascii="Times New Roman" w:hAnsi="Times New Roman" w:eastAsia="宋体" w:cs="Times New Roman"/>
                <w:color w:val="000000"/>
                <w:sz w:val="20"/>
                <w:szCs w:val="20"/>
              </w:rPr>
              <w:t>（四）无法提供</w:t>
            </w: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1.</w:t>
            </w:r>
            <w:r>
              <w:rPr>
                <w:rFonts w:hint="default" w:ascii="Times New Roman" w:hAnsi="Times New Roman" w:eastAsia="宋体" w:cs="Times New Roman"/>
                <w:color w:val="000000"/>
                <w:spacing w:val="-10"/>
                <w:sz w:val="20"/>
                <w:szCs w:val="20"/>
              </w:rPr>
              <w:t>本机关不掌握相关政府信息</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仿宋" w:cs="Times New Roman"/>
                <w:color w:val="000000"/>
                <w:sz w:val="20"/>
                <w:szCs w:val="20"/>
              </w:rPr>
              <w:t>1</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仿宋" w:cs="Times New Roman"/>
                <w:color w:val="000000"/>
                <w:sz w:val="20"/>
                <w:szCs w:val="2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2.</w:t>
            </w:r>
            <w:r>
              <w:rPr>
                <w:rFonts w:hint="default" w:ascii="Times New Roman" w:hAnsi="Times New Roman" w:eastAsia="宋体" w:cs="Times New Roman"/>
                <w:color w:val="000000"/>
                <w:sz w:val="20"/>
                <w:szCs w:val="20"/>
              </w:rPr>
              <w:t>没有</w:t>
            </w:r>
            <w:r>
              <w:rPr>
                <w:rFonts w:hint="default" w:ascii="Times New Roman" w:hAnsi="Times New Roman" w:eastAsia="宋体" w:cs="Times New Roman"/>
                <w:color w:val="000000"/>
                <w:spacing w:val="-10"/>
                <w:sz w:val="20"/>
                <w:szCs w:val="20"/>
              </w:rPr>
              <w:t>现成信息需要另行制作</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3.</w:t>
            </w:r>
            <w:r>
              <w:rPr>
                <w:rFonts w:hint="default" w:ascii="Times New Roman" w:hAnsi="Times New Roman" w:eastAsia="宋体" w:cs="Times New Roman"/>
                <w:color w:val="000000"/>
                <w:sz w:val="20"/>
                <w:szCs w:val="20"/>
              </w:rPr>
              <w:t>补正后申请内容仍不明确</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restart"/>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rPr>
                <w:rFonts w:hint="default" w:ascii="Times New Roman" w:hAnsi="Times New Roman" w:cs="Times New Roman"/>
              </w:rPr>
            </w:pPr>
            <w:r>
              <w:rPr>
                <w:rFonts w:hint="default" w:ascii="Times New Roman" w:hAnsi="Times New Roman" w:eastAsia="宋体" w:cs="Times New Roman"/>
                <w:color w:val="000000"/>
                <w:sz w:val="20"/>
                <w:szCs w:val="20"/>
              </w:rPr>
              <w:t>（五）不予处理</w:t>
            </w: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1.</w:t>
            </w:r>
            <w:r>
              <w:rPr>
                <w:rFonts w:hint="default" w:ascii="Times New Roman" w:hAnsi="Times New Roman" w:eastAsia="宋体" w:cs="Times New Roman"/>
                <w:color w:val="000000"/>
                <w:sz w:val="20"/>
                <w:szCs w:val="20"/>
              </w:rPr>
              <w:t>信访举报投诉类申请</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2.</w:t>
            </w:r>
            <w:r>
              <w:rPr>
                <w:rFonts w:hint="default" w:ascii="Times New Roman" w:hAnsi="Times New Roman" w:eastAsia="宋体" w:cs="Times New Roman"/>
                <w:color w:val="000000"/>
                <w:sz w:val="20"/>
                <w:szCs w:val="20"/>
              </w:rPr>
              <w:t>重复申请</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3.</w:t>
            </w:r>
            <w:r>
              <w:rPr>
                <w:rFonts w:hint="default" w:ascii="Times New Roman" w:hAnsi="Times New Roman" w:eastAsia="宋体" w:cs="Times New Roman"/>
                <w:color w:val="000000"/>
                <w:sz w:val="20"/>
                <w:szCs w:val="20"/>
              </w:rPr>
              <w:t>要求提供公开出版物</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top"/>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rPr>
                <w:rFonts w:hint="default" w:ascii="Times New Roman" w:hAnsi="Times New Roman" w:cs="Times New Roman"/>
              </w:rPr>
            </w:pPr>
            <w:r>
              <w:rPr>
                <w:rFonts w:hint="default" w:ascii="Times New Roman" w:hAnsi="Times New Roman" w:cs="Times New Roman"/>
                <w:color w:val="000000"/>
                <w:sz w:val="20"/>
                <w:szCs w:val="20"/>
              </w:rPr>
              <w:t>4.</w:t>
            </w:r>
            <w:r>
              <w:rPr>
                <w:rFonts w:hint="default" w:ascii="Times New Roman" w:hAnsi="Times New Roman" w:eastAsia="宋体" w:cs="Times New Roman"/>
                <w:color w:val="000000"/>
                <w:sz w:val="20"/>
                <w:szCs w:val="20"/>
              </w:rPr>
              <w:t>无正当理由大量反复申请</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Times New Roman" w:hAnsi="Times New Roman" w:cs="Times New Roman"/>
              </w:rPr>
            </w:pPr>
            <w:r>
              <w:rPr>
                <w:rFonts w:hint="default" w:ascii="Times New Roman" w:hAnsi="Times New Roman" w:cs="Times New Roman"/>
                <w:color w:val="000000"/>
                <w:sz w:val="20"/>
                <w:szCs w:val="20"/>
              </w:rPr>
              <w:t>5.</w:t>
            </w:r>
            <w:r>
              <w:rPr>
                <w:rFonts w:hint="default" w:ascii="Times New Roman" w:hAnsi="Times New Roman" w:eastAsia="宋体" w:cs="Times New Roman"/>
                <w:color w:val="000000"/>
                <w:sz w:val="20"/>
                <w:szCs w:val="20"/>
              </w:rPr>
              <w:t>要求行政机关确认或重新出具已获取信息</w:t>
            </w:r>
          </w:p>
        </w:tc>
        <w:tc>
          <w:tcPr>
            <w:tcW w:w="609" w:type="dxa"/>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070"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restart"/>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rPr>
                <w:rFonts w:hint="default" w:ascii="Times New Roman" w:hAnsi="Times New Roman" w:cs="Times New Roman"/>
              </w:rPr>
            </w:pPr>
            <w:r>
              <w:rPr>
                <w:rFonts w:hint="default" w:ascii="Times New Roman" w:hAnsi="Times New Roman" w:eastAsia="宋体" w:cs="Times New Roman"/>
                <w:color w:val="000000"/>
                <w:sz w:val="20"/>
                <w:szCs w:val="20"/>
              </w:rPr>
              <w:t>（六）其他处理</w:t>
            </w:r>
          </w:p>
        </w:tc>
        <w:tc>
          <w:tcPr>
            <w:tcW w:w="30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Times New Roman" w:hAnsi="Times New Roman" w:cs="Times New Roman"/>
              </w:rPr>
            </w:pPr>
            <w:r>
              <w:rPr>
                <w:rFonts w:hint="default" w:ascii="Times New Roman" w:hAnsi="Times New Roman" w:cs="Times New Roman"/>
                <w:color w:val="000000"/>
                <w:sz w:val="20"/>
                <w:szCs w:val="20"/>
              </w:rPr>
              <w:t>1.</w:t>
            </w:r>
            <w:r>
              <w:rPr>
                <w:rFonts w:hint="default" w:ascii="Times New Roman" w:hAnsi="Times New Roman" w:eastAsia="宋体" w:cs="Times New Roman"/>
                <w:color w:val="000000"/>
                <w:sz w:val="20"/>
                <w:szCs w:val="20"/>
              </w:rPr>
              <w:t>申请人无正当理由逾期不补正、行政机关不再处理其政府信息公开申请</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14"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0"/>
              <w:jc w:val="both"/>
              <w:rPr>
                <w:rFonts w:hint="default" w:ascii="Times New Roman" w:hAnsi="Times New Roman" w:cs="Times New Roman"/>
              </w:rPr>
            </w:pPr>
            <w:r>
              <w:rPr>
                <w:rFonts w:hint="default" w:ascii="Times New Roman" w:hAnsi="Times New Roman" w:cs="Times New Roman"/>
                <w:color w:val="000000"/>
                <w:sz w:val="20"/>
                <w:szCs w:val="20"/>
              </w:rPr>
              <w:t>2.</w:t>
            </w:r>
            <w:r>
              <w:rPr>
                <w:rFonts w:hint="default" w:ascii="Times New Roman" w:hAnsi="Times New Roman" w:eastAsia="宋体" w:cs="Times New Roman"/>
                <w:color w:val="000000"/>
                <w:spacing w:val="-6"/>
                <w:sz w:val="20"/>
                <w:szCs w:val="20"/>
              </w:rPr>
              <w:t>申请人逾期未按收费通知要求缴纳费用、行政机关不再处理其政府信息公开申请</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45"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925"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0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rPr>
                <w:rFonts w:hint="default" w:ascii="Times New Roman" w:hAnsi="Times New Roman" w:cs="Times New Roman"/>
              </w:rPr>
            </w:pPr>
            <w:r>
              <w:rPr>
                <w:rFonts w:hint="default" w:ascii="Times New Roman" w:hAnsi="Times New Roman" w:cs="Times New Roman"/>
                <w:color w:val="000000"/>
                <w:sz w:val="20"/>
                <w:szCs w:val="20"/>
              </w:rPr>
              <w:t>3.</w:t>
            </w:r>
            <w:r>
              <w:rPr>
                <w:rFonts w:hint="default" w:ascii="Times New Roman" w:hAnsi="Times New Roman" w:eastAsia="宋体" w:cs="Times New Roman"/>
                <w:color w:val="000000"/>
                <w:sz w:val="20"/>
                <w:szCs w:val="20"/>
              </w:rPr>
              <w:t>其他</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7" w:hRule="atLeast"/>
          <w:jc w:val="center"/>
        </w:trPr>
        <w:tc>
          <w:tcPr>
            <w:tcW w:w="748" w:type="dxa"/>
            <w:vMerge w:val="continue"/>
            <w:tcBorders>
              <w:top w:val="single" w:color="auto" w:sz="8" w:space="0"/>
              <w:left w:val="single" w:color="auto" w:sz="8" w:space="0"/>
              <w:bottom w:val="outset" w:color="auto" w:sz="8" w:space="0"/>
              <w:right w:val="single" w:color="auto" w:sz="8" w:space="0"/>
            </w:tcBorders>
            <w:shd w:val="clear" w:color="auto" w:fill="auto"/>
            <w:tcMar>
              <w:left w:w="57" w:type="dxa"/>
              <w:right w:w="57" w:type="dxa"/>
            </w:tcMar>
            <w:vAlign w:val="center"/>
          </w:tcPr>
          <w:p>
            <w:pPr>
              <w:rPr>
                <w:rFonts w:hint="default" w:ascii="Times New Roman" w:hAnsi="Times New Roman" w:cs="Times New Roman"/>
                <w:sz w:val="24"/>
                <w:szCs w:val="24"/>
              </w:rPr>
            </w:pPr>
          </w:p>
        </w:tc>
        <w:tc>
          <w:tcPr>
            <w:tcW w:w="3983" w:type="dxa"/>
            <w:gridSpan w:val="2"/>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rPr>
                <w:rFonts w:hint="default" w:ascii="Times New Roman" w:hAnsi="Times New Roman" w:cs="Times New Roman"/>
              </w:rPr>
            </w:pPr>
            <w:r>
              <w:rPr>
                <w:rFonts w:hint="default" w:ascii="Times New Roman" w:hAnsi="Times New Roman" w:eastAsia="宋体" w:cs="Times New Roman"/>
                <w:color w:val="000000"/>
                <w:sz w:val="20"/>
                <w:szCs w:val="20"/>
              </w:rPr>
              <w:t>（七）总计</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仿宋" w:cs="Times New Roman"/>
                <w:color w:val="000000"/>
                <w:sz w:val="20"/>
                <w:szCs w:val="20"/>
              </w:rPr>
              <w:t>1</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仿宋" w:cs="Times New Roman"/>
                <w:color w:val="000000"/>
                <w:sz w:val="20"/>
                <w:szCs w:val="20"/>
              </w:rPr>
              <w:t>1</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12" w:hRule="atLeast"/>
          <w:jc w:val="center"/>
        </w:trPr>
        <w:tc>
          <w:tcPr>
            <w:tcW w:w="4731" w:type="dxa"/>
            <w:gridSpan w:val="3"/>
            <w:tcBorders>
              <w:top w:val="nil"/>
              <w:left w:val="single" w:color="auto" w:sz="8" w:space="0"/>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rPr>
                <w:rFonts w:hint="default" w:ascii="Times New Roman" w:hAnsi="Times New Roman" w:cs="Times New Roman"/>
              </w:rPr>
            </w:pPr>
            <w:r>
              <w:rPr>
                <w:rFonts w:hint="default" w:ascii="Times New Roman" w:hAnsi="Times New Roman" w:eastAsia="宋体" w:cs="Times New Roman"/>
                <w:color w:val="000000"/>
                <w:sz w:val="20"/>
                <w:szCs w:val="20"/>
              </w:rPr>
              <w:t>四、结转下年度继续办理</w:t>
            </w:r>
          </w:p>
        </w:tc>
        <w:tc>
          <w:tcPr>
            <w:tcW w:w="609"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 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c>
          <w:tcPr>
            <w:tcW w:w="658" w:type="dxa"/>
            <w:tcBorders>
              <w:top w:val="nil"/>
              <w:left w:val="nil"/>
              <w:bottom w:val="single" w:color="auto" w:sz="8" w:space="0"/>
              <w:right w:val="single" w:color="auto" w:sz="8" w:space="0"/>
            </w:tcBorders>
            <w:shd w:val="clear" w:color="auto" w:fill="auto"/>
            <w:tcMar>
              <w:left w:w="57" w:type="dxa"/>
              <w:right w:w="57"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cs="Times New Roman"/>
                <w:color w:val="000000"/>
                <w:sz w:val="20"/>
                <w:szCs w:val="20"/>
              </w:rPr>
              <w:t>0</w:t>
            </w:r>
          </w:p>
        </w:tc>
      </w:tr>
    </w:tbl>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640"/>
        <w:jc w:val="both"/>
        <w:rPr>
          <w:rFonts w:hint="default" w:ascii="Times New Roman" w:hAnsi="Times New Roman" w:eastAsia="微软雅黑" w:cs="Times New Roman"/>
          <w:i w:val="0"/>
          <w:iCs w:val="0"/>
          <w:caps w:val="0"/>
          <w:color w:val="333333"/>
          <w:spacing w:val="0"/>
          <w:sz w:val="21"/>
          <w:szCs w:val="21"/>
        </w:rPr>
      </w:pPr>
      <w:r>
        <w:rPr>
          <w:rFonts w:hint="default" w:ascii="Times New Roman" w:hAnsi="Times New Roman" w:eastAsia="微软雅黑" w:cs="Times New Roman"/>
          <w:i w:val="0"/>
          <w:iCs w:val="0"/>
          <w:caps w:val="0"/>
          <w:color w:val="000000"/>
          <w:spacing w:val="0"/>
          <w:sz w:val="32"/>
          <w:szCs w:val="32"/>
          <w:shd w:val="clear" w:fill="FFFFFF"/>
        </w:rPr>
        <w:t>四、政府信息公开行政复议、行政诉讼情况 </w:t>
      </w:r>
    </w:p>
    <w:tbl>
      <w:tblPr>
        <w:tblStyle w:val="4"/>
        <w:tblW w:w="8522"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312"/>
        <w:gridCol w:w="575"/>
        <w:gridCol w:w="576"/>
        <w:gridCol w:w="576"/>
        <w:gridCol w:w="576"/>
        <w:gridCol w:w="576"/>
        <w:gridCol w:w="576"/>
        <w:gridCol w:w="576"/>
        <w:gridCol w:w="576"/>
        <w:gridCol w:w="576"/>
        <w:gridCol w:w="576"/>
        <w:gridCol w:w="576"/>
        <w:gridCol w:w="625"/>
        <w:gridCol w:w="625"/>
        <w:gridCol w:w="62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8" w:hRule="atLeast"/>
          <w:jc w:val="center"/>
        </w:trPr>
        <w:tc>
          <w:tcPr>
            <w:tcW w:w="2615"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黑体" w:cs="Times New Roman"/>
                <w:color w:val="000000"/>
                <w:sz w:val="20"/>
                <w:szCs w:val="20"/>
              </w:rPr>
              <w:t>行政复议</w:t>
            </w:r>
          </w:p>
        </w:tc>
        <w:tc>
          <w:tcPr>
            <w:tcW w:w="590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黑体" w:cs="Times New Roman"/>
                <w:color w:val="000000"/>
                <w:sz w:val="20"/>
                <w:szCs w:val="20"/>
              </w:rPr>
              <w:t>行政诉讼</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8" w:hRule="atLeast"/>
          <w:jc w:val="center"/>
        </w:trPr>
        <w:tc>
          <w:tcPr>
            <w:tcW w:w="31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结果维持</w:t>
            </w:r>
          </w:p>
        </w:tc>
        <w:tc>
          <w:tcPr>
            <w:tcW w:w="57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结果</w:t>
            </w:r>
            <w:r>
              <w:rPr>
                <w:rFonts w:hint="default" w:ascii="Times New Roman" w:hAnsi="Times New Roman" w:cs="Times New Roman"/>
                <w:color w:val="000000"/>
                <w:sz w:val="20"/>
                <w:szCs w:val="20"/>
              </w:rPr>
              <w:br w:type="textWrapping"/>
            </w:r>
            <w:r>
              <w:rPr>
                <w:rFonts w:hint="default" w:ascii="Times New Roman" w:hAnsi="Times New Roman" w:eastAsia="黑体" w:cs="Times New Roman"/>
                <w:color w:val="000000"/>
                <w:sz w:val="20"/>
                <w:szCs w:val="20"/>
              </w:rPr>
              <w:t>纠正</w:t>
            </w:r>
          </w:p>
        </w:tc>
        <w:tc>
          <w:tcPr>
            <w:tcW w:w="57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其他</w:t>
            </w:r>
            <w:r>
              <w:rPr>
                <w:rFonts w:hint="default" w:ascii="Times New Roman" w:hAnsi="Times New Roman" w:cs="Times New Roman"/>
                <w:color w:val="000000"/>
                <w:sz w:val="20"/>
                <w:szCs w:val="20"/>
              </w:rPr>
              <w:br w:type="textWrapping"/>
            </w:r>
            <w:r>
              <w:rPr>
                <w:rFonts w:hint="default" w:ascii="Times New Roman" w:hAnsi="Times New Roman" w:eastAsia="黑体" w:cs="Times New Roman"/>
                <w:color w:val="000000"/>
                <w:sz w:val="20"/>
                <w:szCs w:val="20"/>
              </w:rPr>
              <w:t>结果</w:t>
            </w:r>
          </w:p>
        </w:tc>
        <w:tc>
          <w:tcPr>
            <w:tcW w:w="57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尚未</w:t>
            </w:r>
            <w:r>
              <w:rPr>
                <w:rFonts w:hint="default" w:ascii="Times New Roman" w:hAnsi="Times New Roman" w:cs="Times New Roman"/>
                <w:color w:val="000000"/>
                <w:sz w:val="20"/>
                <w:szCs w:val="20"/>
              </w:rPr>
              <w:br w:type="textWrapping"/>
            </w:r>
            <w:r>
              <w:rPr>
                <w:rFonts w:hint="default" w:ascii="Times New Roman" w:hAnsi="Times New Roman" w:eastAsia="黑体" w:cs="Times New Roman"/>
                <w:color w:val="000000"/>
                <w:sz w:val="20"/>
                <w:szCs w:val="20"/>
              </w:rPr>
              <w:t>审结</w:t>
            </w:r>
          </w:p>
        </w:tc>
        <w:tc>
          <w:tcPr>
            <w:tcW w:w="576"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总计</w:t>
            </w:r>
          </w:p>
        </w:tc>
        <w:tc>
          <w:tcPr>
            <w:tcW w:w="288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黑体" w:cs="Times New Roman"/>
                <w:color w:val="000000"/>
                <w:sz w:val="20"/>
                <w:szCs w:val="20"/>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right="0" w:firstLine="400"/>
              <w:jc w:val="center"/>
              <w:rPr>
                <w:rFonts w:hint="default" w:ascii="Times New Roman" w:hAnsi="Times New Roman" w:cs="Times New Roman"/>
              </w:rPr>
            </w:pPr>
            <w:r>
              <w:rPr>
                <w:rFonts w:hint="default" w:ascii="Times New Roman" w:hAnsi="Times New Roman" w:eastAsia="黑体" w:cs="Times New Roman"/>
                <w:color w:val="000000"/>
                <w:sz w:val="20"/>
                <w:szCs w:val="20"/>
              </w:rPr>
              <w:t>复议后起诉</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2" w:hRule="atLeast"/>
          <w:jc w:val="center"/>
        </w:trPr>
        <w:tc>
          <w:tcPr>
            <w:tcW w:w="312"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57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57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57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576"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default" w:ascii="Times New Roman" w:hAnsi="Times New Roman" w:cs="Times New Roman"/>
                <w:sz w:val="24"/>
                <w:szCs w:val="24"/>
              </w:rPr>
            </w:pP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结果</w:t>
            </w:r>
            <w:r>
              <w:rPr>
                <w:rFonts w:hint="default" w:ascii="Times New Roman" w:hAnsi="Times New Roman" w:cs="Times New Roman"/>
                <w:color w:val="000000"/>
                <w:sz w:val="20"/>
                <w:szCs w:val="20"/>
              </w:rPr>
              <w:br w:type="textWrapping"/>
            </w:r>
            <w:r>
              <w:rPr>
                <w:rFonts w:hint="default" w:ascii="Times New Roman" w:hAnsi="Times New Roman" w:eastAsia="黑体" w:cs="Times New Roman"/>
                <w:color w:val="000000"/>
                <w:sz w:val="20"/>
                <w:szCs w:val="20"/>
              </w:rPr>
              <w:t>维持</w:t>
            </w: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结果</w:t>
            </w:r>
            <w:r>
              <w:rPr>
                <w:rFonts w:hint="default" w:ascii="Times New Roman" w:hAnsi="Times New Roman" w:cs="Times New Roman"/>
                <w:color w:val="000000"/>
                <w:sz w:val="20"/>
                <w:szCs w:val="20"/>
              </w:rPr>
              <w:br w:type="textWrapping"/>
            </w:r>
            <w:r>
              <w:rPr>
                <w:rFonts w:hint="default" w:ascii="Times New Roman" w:hAnsi="Times New Roman" w:eastAsia="黑体" w:cs="Times New Roman"/>
                <w:color w:val="000000"/>
                <w:sz w:val="20"/>
                <w:szCs w:val="20"/>
              </w:rPr>
              <w:t>纠正</w:t>
            </w:r>
          </w:p>
        </w:tc>
        <w:tc>
          <w:tcPr>
            <w:tcW w:w="5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其他</w:t>
            </w:r>
            <w:r>
              <w:rPr>
                <w:rFonts w:hint="default" w:ascii="Times New Roman" w:hAnsi="Times New Roman" w:cs="Times New Roman"/>
                <w:color w:val="000000"/>
                <w:sz w:val="20"/>
                <w:szCs w:val="20"/>
              </w:rPr>
              <w:br w:type="textWrapping"/>
            </w:r>
            <w:r>
              <w:rPr>
                <w:rFonts w:hint="default" w:ascii="Times New Roman" w:hAnsi="Times New Roman" w:eastAsia="黑体" w:cs="Times New Roman"/>
                <w:color w:val="000000"/>
                <w:sz w:val="20"/>
                <w:szCs w:val="20"/>
              </w:rPr>
              <w:t>结果</w:t>
            </w:r>
          </w:p>
        </w:tc>
        <w:tc>
          <w:tcPr>
            <w:tcW w:w="5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尚未</w:t>
            </w:r>
            <w:r>
              <w:rPr>
                <w:rFonts w:hint="default" w:ascii="Times New Roman" w:hAnsi="Times New Roman" w:cs="Times New Roman"/>
                <w:color w:val="000000"/>
                <w:sz w:val="20"/>
                <w:szCs w:val="20"/>
              </w:rPr>
              <w:br w:type="textWrapping"/>
            </w:r>
            <w:r>
              <w:rPr>
                <w:rFonts w:hint="default" w:ascii="Times New Roman" w:hAnsi="Times New Roman" w:eastAsia="黑体" w:cs="Times New Roman"/>
                <w:color w:val="000000"/>
                <w:sz w:val="20"/>
                <w:szCs w:val="20"/>
              </w:rPr>
              <w:t>审结</w:t>
            </w:r>
          </w:p>
        </w:tc>
        <w:tc>
          <w:tcPr>
            <w:tcW w:w="5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总计</w:t>
            </w:r>
          </w:p>
        </w:tc>
        <w:tc>
          <w:tcPr>
            <w:tcW w:w="5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结果</w:t>
            </w:r>
            <w:r>
              <w:rPr>
                <w:rFonts w:hint="default" w:ascii="Times New Roman" w:hAnsi="Times New Roman" w:cs="Times New Roman"/>
                <w:color w:val="000000"/>
                <w:sz w:val="20"/>
                <w:szCs w:val="20"/>
              </w:rPr>
              <w:br w:type="textWrapping"/>
            </w:r>
            <w:r>
              <w:rPr>
                <w:rFonts w:hint="default" w:ascii="Times New Roman" w:hAnsi="Times New Roman" w:eastAsia="黑体" w:cs="Times New Roman"/>
                <w:color w:val="000000"/>
                <w:sz w:val="20"/>
                <w:szCs w:val="20"/>
              </w:rPr>
              <w:t>维持</w:t>
            </w:r>
          </w:p>
        </w:tc>
        <w:tc>
          <w:tcPr>
            <w:tcW w:w="57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结果</w:t>
            </w:r>
            <w:r>
              <w:rPr>
                <w:rFonts w:hint="default" w:ascii="Times New Roman" w:hAnsi="Times New Roman" w:cs="Times New Roman"/>
                <w:color w:val="000000"/>
                <w:sz w:val="20"/>
                <w:szCs w:val="20"/>
              </w:rPr>
              <w:br w:type="textWrapping"/>
            </w:r>
            <w:r>
              <w:rPr>
                <w:rFonts w:hint="default" w:ascii="Times New Roman" w:hAnsi="Times New Roman" w:eastAsia="黑体" w:cs="Times New Roman"/>
                <w:color w:val="000000"/>
                <w:sz w:val="20"/>
                <w:szCs w:val="20"/>
              </w:rPr>
              <w:t>纠正</w:t>
            </w:r>
          </w:p>
        </w:tc>
        <w:tc>
          <w:tcPr>
            <w:tcW w:w="6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其他</w:t>
            </w:r>
            <w:r>
              <w:rPr>
                <w:rFonts w:hint="default" w:ascii="Times New Roman" w:hAnsi="Times New Roman" w:cs="Times New Roman"/>
                <w:color w:val="000000"/>
                <w:sz w:val="20"/>
                <w:szCs w:val="20"/>
              </w:rPr>
              <w:br w:type="textWrapping"/>
            </w:r>
            <w:r>
              <w:rPr>
                <w:rFonts w:hint="default" w:ascii="Times New Roman" w:hAnsi="Times New Roman" w:eastAsia="黑体" w:cs="Times New Roman"/>
                <w:color w:val="000000"/>
                <w:sz w:val="20"/>
                <w:szCs w:val="20"/>
              </w:rPr>
              <w:t>结果</w:t>
            </w:r>
          </w:p>
        </w:tc>
        <w:tc>
          <w:tcPr>
            <w:tcW w:w="6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尚未</w:t>
            </w:r>
            <w:r>
              <w:rPr>
                <w:rFonts w:hint="default" w:ascii="Times New Roman" w:hAnsi="Times New Roman" w:cs="Times New Roman"/>
                <w:color w:val="000000"/>
                <w:sz w:val="20"/>
                <w:szCs w:val="20"/>
              </w:rPr>
              <w:br w:type="textWrapping"/>
            </w:r>
            <w:r>
              <w:rPr>
                <w:rFonts w:hint="default" w:ascii="Times New Roman" w:hAnsi="Times New Roman" w:eastAsia="黑体" w:cs="Times New Roman"/>
                <w:color w:val="000000"/>
                <w:sz w:val="20"/>
                <w:szCs w:val="20"/>
              </w:rPr>
              <w:t>审结</w:t>
            </w:r>
          </w:p>
        </w:tc>
        <w:tc>
          <w:tcPr>
            <w:tcW w:w="6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eastAsia="黑体" w:cs="Times New Roman"/>
                <w:color w:val="000000"/>
                <w:sz w:val="20"/>
                <w:szCs w:val="20"/>
              </w:rPr>
              <w:t>总计</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43" w:hRule="atLeast"/>
          <w:jc w:val="center"/>
        </w:trPr>
        <w:tc>
          <w:tcPr>
            <w:tcW w:w="312"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57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576"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c>
          <w:tcPr>
            <w:tcW w:w="625" w:type="dxa"/>
            <w:tcBorders>
              <w:top w:val="nil"/>
              <w:left w:val="nil"/>
              <w:bottom w:val="single" w:color="auto" w:sz="8" w:space="0"/>
              <w:right w:val="single" w:color="auto" w:sz="8" w:space="0"/>
            </w:tcBorders>
            <w:shd w:val="clear" w:color="auto" w:fill="auto"/>
            <w:tcMar>
              <w:left w:w="108" w:type="dxa"/>
              <w:right w:w="108"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ind w:left="0" w:leftChars="0" w:right="0" w:firstLine="0" w:firstLineChars="0"/>
              <w:jc w:val="both"/>
              <w:rPr>
                <w:rFonts w:hint="default" w:ascii="Times New Roman" w:hAnsi="Times New Roman" w:cs="Times New Roman"/>
              </w:rPr>
            </w:pPr>
            <w:r>
              <w:rPr>
                <w:rFonts w:hint="default" w:ascii="Times New Roman" w:hAnsi="Times New Roman" w:cs="Times New Roman"/>
                <w:color w:val="000000"/>
                <w:sz w:val="20"/>
                <w:szCs w:val="20"/>
              </w:rPr>
              <w:t>0</w:t>
            </w:r>
          </w:p>
        </w:tc>
      </w:tr>
    </w:tbl>
    <w:p>
      <w:pPr>
        <w:rPr>
          <w:rFonts w:hint="default" w:ascii="Times New Roman" w:hAnsi="Times New Roman" w:eastAsia="黑体" w:cs="Times New Roman"/>
        </w:rPr>
      </w:pPr>
      <w:r>
        <w:rPr>
          <w:rFonts w:hint="default" w:ascii="Times New Roman" w:hAnsi="Times New Roman" w:eastAsia="黑体" w:cs="Times New Roman"/>
        </w:rPr>
        <w:t>五、存在的主要问题及改进情况</w:t>
      </w:r>
    </w:p>
    <w:p>
      <w:pPr>
        <w:bidi w:val="0"/>
        <w:ind w:firstLine="900"/>
        <w:rPr>
          <w:rFonts w:hint="default" w:ascii="Times New Roman" w:hAnsi="Times New Roman" w:eastAsia="楷体" w:cs="Times New Roman"/>
          <w:b/>
          <w:bCs/>
        </w:rPr>
      </w:pPr>
      <w:r>
        <w:rPr>
          <w:rFonts w:hint="default" w:ascii="Times New Roman" w:hAnsi="Times New Roman" w:eastAsia="楷体" w:cs="Times New Roman"/>
          <w:b/>
          <w:bCs/>
          <w:lang w:val="en-US" w:eastAsia="zh-CN"/>
        </w:rPr>
        <w:t>（一）存在问题</w:t>
      </w:r>
    </w:p>
    <w:p>
      <w:pPr>
        <w:rPr>
          <w:rFonts w:hint="default" w:ascii="Times New Roman" w:hAnsi="Times New Roman" w:cs="Times New Roman"/>
        </w:rPr>
      </w:pPr>
      <w:r>
        <w:rPr>
          <w:rFonts w:hint="default" w:ascii="Times New Roman" w:hAnsi="Times New Roman" w:cs="Times New Roman"/>
          <w:lang w:val="en-US" w:eastAsia="zh-CN"/>
        </w:rPr>
        <w:t>1.虽然今年政策解读的信息发布更加规范，但是解读的质量仍有待提高，特别是视频、动画、图片等不同解读形式的内容有待增加。</w:t>
      </w:r>
    </w:p>
    <w:p>
      <w:pPr>
        <w:rPr>
          <w:rFonts w:hint="default" w:ascii="Times New Roman" w:hAnsi="Times New Roman" w:cs="Times New Roman"/>
        </w:rPr>
      </w:pPr>
      <w:r>
        <w:rPr>
          <w:rFonts w:hint="default" w:ascii="Times New Roman" w:hAnsi="Times New Roman" w:cs="Times New Roman"/>
          <w:lang w:val="en-US" w:eastAsia="zh-CN"/>
        </w:rPr>
        <w:t>2.信息发布人员对规范性文件的把握不够精准，不能很好区分规范性文件和其他文件，同时对政务公开的政策理解不够到位，业务水平还需要提高，部分信息公开格式不够规范，未严格按照目录格式要求进行公开。</w:t>
      </w:r>
    </w:p>
    <w:p>
      <w:pPr>
        <w:bidi w:val="0"/>
        <w:ind w:firstLine="900"/>
        <w:rPr>
          <w:rFonts w:hint="default" w:ascii="Times New Roman" w:hAnsi="Times New Roman" w:eastAsia="楷体" w:cs="Times New Roman"/>
          <w:b/>
          <w:bCs/>
          <w:lang w:val="en-US" w:eastAsia="zh-CN"/>
        </w:rPr>
      </w:pPr>
      <w:r>
        <w:rPr>
          <w:rFonts w:hint="default" w:ascii="Times New Roman" w:hAnsi="Times New Roman" w:eastAsia="楷体" w:cs="Times New Roman"/>
          <w:b/>
          <w:bCs/>
          <w:lang w:val="en-US" w:eastAsia="zh-CN"/>
        </w:rPr>
        <w:t>（二）改进情况</w:t>
      </w:r>
    </w:p>
    <w:p>
      <w:pPr>
        <w:rPr>
          <w:rFonts w:hint="default" w:ascii="Times New Roman" w:hAnsi="Times New Roman" w:cs="Times New Roman"/>
        </w:rPr>
      </w:pPr>
      <w:r>
        <w:rPr>
          <w:rFonts w:hint="default" w:ascii="Times New Roman" w:hAnsi="Times New Roman" w:cs="Times New Roman"/>
          <w:lang w:val="en-US" w:eastAsia="zh-CN"/>
        </w:rPr>
        <w:t>1.不断加强政务公开信息质量管理，重点丰富政策解读形式，提高解读质量；增强信息人员业务水平，提升工作能力，规范信息发布内容，提高信息的时效性、全面性和准确性。</w:t>
      </w:r>
    </w:p>
    <w:p>
      <w:pPr>
        <w:rPr>
          <w:rFonts w:hint="default" w:ascii="Times New Roman" w:hAnsi="Times New Roman" w:cs="Times New Roman"/>
        </w:rPr>
      </w:pPr>
      <w:r>
        <w:rPr>
          <w:rFonts w:hint="default" w:ascii="Times New Roman" w:hAnsi="Times New Roman" w:cs="Times New Roman"/>
          <w:lang w:val="en-US" w:eastAsia="zh-CN"/>
        </w:rPr>
        <w:t>2.严格规范流程，不断完善健全单位公开目录清单，明确公开类别、时间、内容等信息，做到及时、全面、规范公开。统筹信息发布，既要落实好县政务公开办工作要求，也要和市发改委做好对接，完成好市县两级工作要求。</w:t>
      </w:r>
    </w:p>
    <w:p>
      <w:pPr>
        <w:bidi w:val="0"/>
        <w:ind w:firstLine="900"/>
        <w:rPr>
          <w:rFonts w:hint="default" w:ascii="Times New Roman" w:hAnsi="Times New Roman" w:eastAsia="楷体" w:cs="Times New Roman"/>
          <w:b/>
          <w:bCs/>
          <w:lang w:val="en-US" w:eastAsia="zh-CN"/>
        </w:rPr>
      </w:pPr>
      <w:r>
        <w:rPr>
          <w:rFonts w:hint="default" w:ascii="Times New Roman" w:hAnsi="Times New Roman" w:eastAsia="楷体" w:cs="Times New Roman"/>
          <w:b/>
          <w:bCs/>
          <w:lang w:val="en-US" w:eastAsia="zh-CN"/>
        </w:rPr>
        <w:t>（三）下一步工作目标</w:t>
      </w:r>
    </w:p>
    <w:p>
      <w:pPr>
        <w:rPr>
          <w:rFonts w:hint="default" w:ascii="Times New Roman" w:hAnsi="Times New Roman" w:cs="Times New Roman"/>
        </w:rPr>
      </w:pPr>
      <w:r>
        <w:rPr>
          <w:rFonts w:hint="default" w:ascii="Times New Roman" w:hAnsi="Times New Roman" w:cs="Times New Roman"/>
          <w:lang w:val="en-US" w:eastAsia="zh-CN"/>
        </w:rPr>
        <w:t>1.加强政府信息公开审查工作。政府信息公开前要依法依规严格审查，特别要做好对公开内容表述、公开时机、公开方式的研判，避免发生信息失信、影响社会稳定等问题。健全政务公开领导机制。进一步加强组织保障，根据人员变动情况，及时调整政务公开工作领导小组机构，建立重大问题处理和工作部署推进协调机制，对外及时小组成员及工作分工信息</w:t>
      </w:r>
    </w:p>
    <w:p>
      <w:pPr>
        <w:rPr>
          <w:rFonts w:hint="default" w:ascii="Times New Roman" w:hAnsi="Times New Roman" w:cs="Times New Roman"/>
        </w:rPr>
      </w:pPr>
      <w:r>
        <w:rPr>
          <w:rFonts w:hint="default" w:ascii="Times New Roman" w:hAnsi="Times New Roman" w:cs="Times New Roman"/>
          <w:lang w:val="en-US" w:eastAsia="zh-CN"/>
        </w:rPr>
        <w:t>2.做好依申请公开工作。畅通依申请公开网上受理渠道，提升回复效率。坚持公正、公平、便民的原则，依法处理依申请公开事项，对登记、审核、分办、汇总意见、告知答复、备案等各个环节进行规范，依法、依规开展工作。</w:t>
      </w:r>
    </w:p>
    <w:p>
      <w:pPr>
        <w:ind w:firstLine="900"/>
        <w:rPr>
          <w:rFonts w:hint="default" w:ascii="Times New Roman" w:hAnsi="Times New Roman" w:eastAsia="黑体" w:cs="Times New Roman"/>
        </w:rPr>
      </w:pPr>
      <w:r>
        <w:rPr>
          <w:rFonts w:hint="default" w:ascii="Times New Roman" w:hAnsi="Times New Roman" w:eastAsia="黑体" w:cs="Times New Roman"/>
          <w:lang w:val="en-US" w:eastAsia="zh-CN"/>
        </w:rPr>
        <w:t>六、其他需要报告的事项</w:t>
      </w:r>
    </w:p>
    <w:p>
      <w:pPr>
        <w:rPr>
          <w:rFonts w:hint="default" w:ascii="Times New Roman" w:hAnsi="Times New Roman" w:cs="Times New Roman"/>
        </w:rPr>
      </w:pPr>
      <w:r>
        <w:rPr>
          <w:rFonts w:hint="default" w:ascii="Times New Roman" w:hAnsi="Times New Roman" w:cs="Times New Roman"/>
          <w:lang w:val="en-US" w:eastAsia="zh-CN"/>
        </w:rPr>
        <w:t>按照《国务院办公厅关于印发〈政府信息公开信息处理费管理办法〉的通知》（国办函〔2020〕109号）规定的按件、按量收费标准，本年度没有产生信息公开处理费。</w:t>
      </w:r>
    </w:p>
    <w:p>
      <w:pPr>
        <w:rPr>
          <w:rFonts w:hint="default" w:ascii="Times New Roman" w:hAnsi="Times New Roman" w:cs="Times New Roman"/>
        </w:rPr>
      </w:pPr>
      <w:r>
        <w:rPr>
          <w:rFonts w:hint="default" w:ascii="Times New Roman" w:hAnsi="Times New Roman" w:cs="Times New Roman"/>
          <w:lang w:val="en-US" w:eastAsia="zh-CN"/>
        </w:rPr>
        <w:t> </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5MzNhYmNlMGUwN2QyOGIyNWJhYmNiMTNkNDVkODAifQ=="/>
    <w:docVar w:name="KSO_WPS_MARK_KEY" w:val="b9854135-5735-4b95-bd00-ec8e829c1add"/>
  </w:docVars>
  <w:rsids>
    <w:rsidRoot w:val="7C5209BF"/>
    <w:rsid w:val="068823CE"/>
    <w:rsid w:val="0FB62DE2"/>
    <w:rsid w:val="1B37308A"/>
    <w:rsid w:val="1B965E16"/>
    <w:rsid w:val="1F972BA8"/>
    <w:rsid w:val="27DA7CAB"/>
    <w:rsid w:val="2D447054"/>
    <w:rsid w:val="3BCB5FB7"/>
    <w:rsid w:val="43C3191A"/>
    <w:rsid w:val="47C43257"/>
    <w:rsid w:val="48E3464A"/>
    <w:rsid w:val="4B350625"/>
    <w:rsid w:val="506E78D9"/>
    <w:rsid w:val="56A9577F"/>
    <w:rsid w:val="62BB01CF"/>
    <w:rsid w:val="641028C0"/>
    <w:rsid w:val="6E335BDF"/>
    <w:rsid w:val="763B1450"/>
    <w:rsid w:val="764C3AC5"/>
    <w:rsid w:val="7C520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900" w:firstLineChars="200"/>
      <w:jc w:val="both"/>
    </w:pPr>
    <w:rPr>
      <w:rFonts w:eastAsia="仿宋_GB2312" w:asciiTheme="minorAscii" w:hAnsiTheme="minorAscii" w:cstheme="minorBidi"/>
      <w:kern w:val="2"/>
      <w:sz w:val="32"/>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2714</Words>
  <Characters>2848</Characters>
  <Lines>0</Lines>
  <Paragraphs>0</Paragraphs>
  <TotalTime>12</TotalTime>
  <ScaleCrop>false</ScaleCrop>
  <LinksUpToDate>false</LinksUpToDate>
  <CharactersWithSpaces>2852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2024-02-21T01:18:00Z</dcterms:created>
  <dc:creator>随风</dc:creator>
  <cp:lastModifiedBy>admin</cp:lastModifiedBy>
  <dcterms:modified xsi:type="dcterms:W3CDTF">2024-08-05T07:06:13Z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C148B496CECE4C509E1D5981D2B3BC0B_11</vt:lpwstr>
  </property>
</Properties>
</file>