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lang w:eastAsia="zh-CN"/>
        </w:rPr>
      </w:pPr>
      <w:r>
        <w:rPr>
          <w:rFonts w:hint="default" w:ascii="Times New Roman" w:hAnsi="Times New Roman" w:eastAsia="方正小标宋简体" w:cs="Times New Roman"/>
          <w:b w:val="0"/>
          <w:bCs w:val="0"/>
          <w:i w:val="0"/>
          <w:iCs w:val="0"/>
          <w:caps w:val="0"/>
          <w:color w:val="333333"/>
          <w:spacing w:val="0"/>
          <w:sz w:val="44"/>
          <w:szCs w:val="44"/>
          <w:lang w:eastAsia="zh-CN"/>
        </w:rPr>
        <w:t>金寨县交通运输局2019年政府信息公开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lang w:eastAsia="zh-CN"/>
        </w:rPr>
      </w:pPr>
      <w:r>
        <w:rPr>
          <w:rFonts w:hint="default" w:ascii="Times New Roman" w:hAnsi="Times New Roman" w:eastAsia="方正小标宋简体" w:cs="Times New Roman"/>
          <w:b w:val="0"/>
          <w:bCs w:val="0"/>
          <w:i w:val="0"/>
          <w:iCs w:val="0"/>
          <w:caps w:val="0"/>
          <w:color w:val="333333"/>
          <w:spacing w:val="0"/>
          <w:sz w:val="44"/>
          <w:szCs w:val="44"/>
          <w:lang w:eastAsia="zh-CN"/>
        </w:rPr>
        <w:t>工作年度报告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720" w:firstLineChars="200"/>
        <w:textAlignment w:val="auto"/>
        <w:rPr>
          <w:rFonts w:hint="default" w:ascii="Times New Roman" w:hAnsi="Times New Roman" w:eastAsia="楷体" w:cs="Times New Roman"/>
          <w:b w:val="0"/>
          <w:bCs w:val="0"/>
          <w:i w:val="0"/>
          <w:iCs w:val="0"/>
          <w:caps w:val="0"/>
          <w:color w:val="333333"/>
          <w:spacing w:val="0"/>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b w:val="0"/>
          <w:bCs w:val="0"/>
          <w:i w:val="0"/>
          <w:iCs w:val="0"/>
          <w:caps w:val="0"/>
          <w:color w:val="333333"/>
          <w:spacing w:val="0"/>
          <w:sz w:val="32"/>
          <w:szCs w:val="32"/>
          <w:lang w:eastAsia="zh-CN"/>
        </w:rPr>
      </w:pPr>
      <w:r>
        <w:rPr>
          <w:rFonts w:hint="default" w:ascii="Times New Roman" w:hAnsi="Times New Roman" w:eastAsia="黑体" w:cs="Times New Roman"/>
          <w:b w:val="0"/>
          <w:bCs w:val="0"/>
          <w:i w:val="0"/>
          <w:iCs w:val="0"/>
          <w:caps w:val="0"/>
          <w:color w:val="333333"/>
          <w:spacing w:val="0"/>
          <w:sz w:val="32"/>
          <w:szCs w:val="32"/>
          <w:shd w:val="clear" w:fill="FFFFFF"/>
          <w:lang w:eastAsia="zh-CN"/>
        </w:rPr>
        <w:t>一、总体情况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34"/>
        <w:textAlignment w:val="auto"/>
        <w:rPr>
          <w:rFonts w:hint="default" w:ascii="Times New Roman" w:hAnsi="Times New Roman" w:eastAsia="仿宋_GB2312" w:cs="Times New Roman"/>
          <w:i w:val="0"/>
          <w:iCs w:val="0"/>
          <w:caps w:val="0"/>
          <w:color w:val="333333"/>
          <w:spacing w:val="0"/>
          <w:sz w:val="32"/>
          <w:szCs w:val="32"/>
          <w:lang w:eastAsia="zh-CN"/>
        </w:rPr>
      </w:pPr>
      <w:r>
        <w:rPr>
          <w:rFonts w:hint="default" w:ascii="Times New Roman" w:hAnsi="Times New Roman" w:eastAsia="仿宋_GB2312" w:cs="Times New Roman"/>
          <w:i w:val="0"/>
          <w:iCs w:val="0"/>
          <w:caps w:val="0"/>
          <w:color w:val="333333"/>
          <w:spacing w:val="0"/>
          <w:sz w:val="32"/>
          <w:szCs w:val="32"/>
          <w:shd w:val="clear" w:fill="FFFFFF"/>
          <w:lang w:val="en-US"/>
        </w:rPr>
        <w:t>2019</w:t>
      </w:r>
      <w:r>
        <w:rPr>
          <w:rFonts w:hint="default" w:ascii="Times New Roman" w:hAnsi="Times New Roman" w:eastAsia="仿宋_GB2312" w:cs="Times New Roman"/>
          <w:i w:val="0"/>
          <w:iCs w:val="0"/>
          <w:caps w:val="0"/>
          <w:color w:val="333333"/>
          <w:spacing w:val="0"/>
          <w:sz w:val="32"/>
          <w:szCs w:val="32"/>
          <w:shd w:val="clear" w:fill="FFFFFF"/>
          <w:lang w:eastAsia="zh-CN"/>
        </w:rPr>
        <w:t>年县交通运输局认真贯彻落实《中华人民共和国政府信息公开条例》、《金寨县政务公开办公室关于印发2019年度全县政务公开目标任务责任清单的通知》（金政公开〔2019〕4号）等有关文件精神，进一步规范公开内容、健全公开制度、拓展公开渠道，着力推进重点领域公开，及时、准确地向社会公开政府信息，顺利完成政务公开新系统的上线及信息跟进任务，扎实推进了政务公开工作，有效提高了交通运输系统决策的民主化、规范化和科学化水平，依法保障人民群众的知情权、参与权和监督权，为加快推进交通运输及全县经济的发展奠定了良好的基础。进一步完善了交通运输局机构设置、领导简介、领导活动、人事信息、政策文件等共性信息的发布，做到了及时发布、常态更新、内容规范、栏目准确。落实三公经费、行政处罚等信息公开，深化财政预算执行和其他财政收支审计信息公开。切实保障了广大群众对涉及切身利益的相关信息“看得到、读得懂、信得过、能监督”。全年共公开信息2</w:t>
      </w:r>
      <w:r>
        <w:rPr>
          <w:rFonts w:hint="default" w:ascii="Times New Roman" w:hAnsi="Times New Roman" w:eastAsia="仿宋_GB2312" w:cs="Times New Roman"/>
          <w:i w:val="0"/>
          <w:iCs w:val="0"/>
          <w:caps w:val="0"/>
          <w:color w:val="333333"/>
          <w:spacing w:val="0"/>
          <w:sz w:val="32"/>
          <w:szCs w:val="32"/>
          <w:shd w:val="clear" w:fill="FFFFFF"/>
          <w:lang w:val="en-US"/>
        </w:rPr>
        <w:t>10</w:t>
      </w:r>
      <w:r>
        <w:rPr>
          <w:rFonts w:hint="default" w:ascii="Times New Roman" w:hAnsi="Times New Roman" w:eastAsia="仿宋_GB2312" w:cs="Times New Roman"/>
          <w:i w:val="0"/>
          <w:iCs w:val="0"/>
          <w:caps w:val="0"/>
          <w:color w:val="333333"/>
          <w:spacing w:val="0"/>
          <w:sz w:val="32"/>
          <w:szCs w:val="32"/>
          <w:shd w:val="clear" w:fill="FFFFFF"/>
          <w:lang w:eastAsia="zh-CN"/>
        </w:rPr>
        <w:t>条，其中主动公开信息2</w:t>
      </w:r>
      <w:r>
        <w:rPr>
          <w:rFonts w:hint="default" w:ascii="Times New Roman" w:hAnsi="Times New Roman" w:eastAsia="仿宋_GB2312" w:cs="Times New Roman"/>
          <w:i w:val="0"/>
          <w:iCs w:val="0"/>
          <w:caps w:val="0"/>
          <w:color w:val="333333"/>
          <w:spacing w:val="0"/>
          <w:sz w:val="32"/>
          <w:szCs w:val="32"/>
          <w:shd w:val="clear" w:fill="FFFFFF"/>
          <w:lang w:val="en-US"/>
        </w:rPr>
        <w:t>10</w:t>
      </w:r>
      <w:r>
        <w:rPr>
          <w:rFonts w:hint="default" w:ascii="Times New Roman" w:hAnsi="Times New Roman" w:eastAsia="仿宋_GB2312" w:cs="Times New Roman"/>
          <w:i w:val="0"/>
          <w:iCs w:val="0"/>
          <w:caps w:val="0"/>
          <w:color w:val="333333"/>
          <w:spacing w:val="0"/>
          <w:sz w:val="32"/>
          <w:szCs w:val="32"/>
          <w:shd w:val="clear" w:fill="FFFFFF"/>
          <w:lang w:eastAsia="zh-CN"/>
        </w:rPr>
        <w:t>条。把推进政府信息公开与建设服务型政府紧密结合起来，有效地保障了公民的知情权、参与权和监督权，为实现全县交通运输健康发展奠定了坚实的基础。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b w:val="0"/>
          <w:bCs w:val="0"/>
          <w:i w:val="0"/>
          <w:iCs w:val="0"/>
          <w:caps w:val="0"/>
          <w:color w:val="333333"/>
          <w:spacing w:val="0"/>
          <w:sz w:val="32"/>
          <w:szCs w:val="32"/>
          <w:shd w:val="clear" w:fill="FFFFFF"/>
          <w:lang w:eastAsia="zh-CN"/>
        </w:rPr>
      </w:pPr>
      <w:r>
        <w:rPr>
          <w:rFonts w:hint="default" w:ascii="Times New Roman" w:hAnsi="Times New Roman" w:eastAsia="黑体" w:cs="Times New Roman"/>
          <w:b w:val="0"/>
          <w:bCs w:val="0"/>
          <w:i w:val="0"/>
          <w:iCs w:val="0"/>
          <w:caps w:val="0"/>
          <w:color w:val="333333"/>
          <w:spacing w:val="0"/>
          <w:sz w:val="32"/>
          <w:szCs w:val="32"/>
          <w:shd w:val="clear" w:fill="FFFFFF"/>
          <w:lang w:eastAsia="zh-CN"/>
        </w:rPr>
        <w:t>二、主动公开政府信息情况</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w:t>
            </w:r>
            <w:r>
              <w:rPr>
                <w:rFonts w:hint="default" w:ascii="Times New Roman" w:hAnsi="Times New Roman" w:eastAsia="宋体" w:cs="Times New Roman"/>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现行有效件</w:t>
            </w:r>
            <w:r>
              <w:rPr>
                <w:rFonts w:hint="default" w:ascii="Times New Roman" w:hAnsi="Times New Roman" w:eastAsia="宋体" w:cs="Times New Roman"/>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eastAsia" w:ascii="Times New Roman" w:hAnsi="Times New Roman" w:cs="Times New Roman"/>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eastAsia" w:ascii="Times New Roman" w:hAnsi="Times New Roman" w:cs="Times New Roman"/>
                <w:color w:val="000000"/>
                <w:kern w:val="0"/>
                <w:sz w:val="20"/>
                <w:szCs w:val="2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eastAsia" w:ascii="Times New Roman" w:hAnsi="Times New Roman" w:cs="Times New Roman"/>
                <w:color w:val="000000"/>
                <w:kern w:val="0"/>
                <w:sz w:val="20"/>
                <w:szCs w:val="20"/>
                <w:lang w:val="en-US" w:eastAsia="zh-CN" w:bidi="ar"/>
              </w:rPr>
              <w:t>5</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val="en-US"/>
              </w:rPr>
            </w:pPr>
            <w:r>
              <w:rPr>
                <w:rFonts w:hint="eastAsia" w:ascii="Times New Roman" w:hAnsi="Times New Roman" w:eastAsia="宋体" w:cs="Times New Roman"/>
                <w:color w:val="000000"/>
                <w:kern w:val="0"/>
                <w:sz w:val="20"/>
                <w:szCs w:val="20"/>
                <w:lang w:val="en-US" w:eastAsia="zh-CN" w:bidi="ar"/>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r>
              <w:rPr>
                <w:rFonts w:hint="default" w:ascii="Times New Roman" w:hAnsi="Times New Roman" w:eastAsia="仿宋_GB2312" w:cs="Times New Roman"/>
                <w:kern w:val="2"/>
                <w:sz w:val="24"/>
                <w:szCs w:val="24"/>
                <w:lang w:val="en-US" w:eastAsia="zh-CN" w:bidi="ar"/>
              </w:rPr>
              <w:t>0</w:t>
            </w:r>
          </w:p>
        </w:tc>
      </w:tr>
    </w:tbl>
    <w:p>
      <w:pPr>
        <w:rPr>
          <w:rFonts w:hint="default"/>
          <w:lang w:eastAsia="zh-CN"/>
        </w:rPr>
      </w:pPr>
    </w:p>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cs="Times New Roman"/>
          <w:vanish/>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微软雅黑" w:cs="Times New Roman"/>
          <w:b w:val="0"/>
          <w:bCs/>
          <w:i w:val="0"/>
          <w:iCs w:val="0"/>
          <w:caps w:val="0"/>
          <w:color w:val="333333"/>
          <w:spacing w:val="0"/>
          <w:sz w:val="32"/>
          <w:szCs w:val="32"/>
          <w:lang w:eastAsia="zh-CN"/>
        </w:rPr>
      </w:pPr>
      <w:r>
        <w:rPr>
          <w:rStyle w:val="7"/>
          <w:rFonts w:hint="default" w:ascii="Times New Roman" w:hAnsi="Times New Roman" w:eastAsia="黑体" w:cs="Times New Roman"/>
          <w:b w:val="0"/>
          <w:bCs/>
          <w:i w:val="0"/>
          <w:iCs w:val="0"/>
          <w:caps w:val="0"/>
          <w:color w:val="333333"/>
          <w:spacing w:val="0"/>
          <w:sz w:val="32"/>
          <w:szCs w:val="32"/>
          <w:shd w:val="clear" w:fill="FFFFFF"/>
          <w:lang w:eastAsia="zh-CN"/>
        </w:rPr>
        <w:t>三、收到和处理政府信息公开申请情况</w:t>
      </w:r>
    </w:p>
    <w:tbl>
      <w:tblPr>
        <w:tblStyle w:val="5"/>
        <w:tblW w:w="907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30"/>
        <w:gridCol w:w="870"/>
        <w:gridCol w:w="2094"/>
        <w:gridCol w:w="973"/>
        <w:gridCol w:w="599"/>
        <w:gridCol w:w="749"/>
        <w:gridCol w:w="809"/>
        <w:gridCol w:w="973"/>
        <w:gridCol w:w="719"/>
        <w:gridCol w:w="65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jc w:val="center"/>
        </w:trPr>
        <w:tc>
          <w:tcPr>
            <w:tcW w:w="3555" w:type="dxa"/>
            <w:gridSpan w:val="3"/>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（本列数据的勾稽关系为：第一项加第二项之和，等于第三项加第四项之和）</w:t>
            </w:r>
          </w:p>
        </w:tc>
        <w:tc>
          <w:tcPr>
            <w:tcW w:w="5490" w:type="dxa"/>
            <w:gridSpan w:val="7"/>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申请人情况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3555" w:type="dxa"/>
            <w:gridSpan w:val="3"/>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975"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hanging="101"/>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自然人</w:t>
            </w:r>
          </w:p>
        </w:tc>
        <w:tc>
          <w:tcPr>
            <w:tcW w:w="3855" w:type="dxa"/>
            <w:gridSpan w:val="5"/>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法人或其他组织</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3555" w:type="dxa"/>
            <w:gridSpan w:val="3"/>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975"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商业企业</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科研机构</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社会公益组织</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法律服务机构</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其他</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3555" w:type="dxa"/>
            <w:gridSpan w:val="3"/>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一、本年新收政府信息公开申请数量</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3555" w:type="dxa"/>
            <w:gridSpan w:val="3"/>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二、上年结转政府信息公开申请数量</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三、本年度办理结果</w:t>
            </w:r>
          </w:p>
        </w:tc>
        <w:tc>
          <w:tcPr>
            <w:tcW w:w="2955" w:type="dxa"/>
            <w:gridSpan w:val="2"/>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（一）予以公开</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2955" w:type="dxa"/>
            <w:gridSpan w:val="2"/>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（二）部分公开（区分处理的， 只计这一情形，不计其他情形）</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855"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（三） 不予公开</w:t>
            </w: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1.属于国家秘密</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855"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2.其他法律行政法规禁止公开</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855"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3.危及“三安全一稳</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bl>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cs="Times New Roman"/>
          <w:vanish/>
          <w:sz w:val="24"/>
          <w:szCs w:val="24"/>
        </w:rPr>
      </w:pPr>
    </w:p>
    <w:tbl>
      <w:tblPr>
        <w:tblStyle w:val="5"/>
        <w:tblW w:w="907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02"/>
        <w:gridCol w:w="873"/>
        <w:gridCol w:w="2107"/>
        <w:gridCol w:w="813"/>
        <w:gridCol w:w="752"/>
        <w:gridCol w:w="752"/>
        <w:gridCol w:w="813"/>
        <w:gridCol w:w="978"/>
        <w:gridCol w:w="722"/>
        <w:gridCol w:w="663"/>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jc w:val="center"/>
        </w:trPr>
        <w:tc>
          <w:tcPr>
            <w:tcW w:w="600"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tc>
        <w:tc>
          <w:tcPr>
            <w:tcW w:w="855"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定”</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855"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4.保护第三方合法权益</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855"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5.属于三类内部事务信息</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855"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6.属于四类过程性信息</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855"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7.属于行政执法案卷</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855"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8.属于行政查询事项</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855"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（四） 无法提供</w:t>
            </w: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1.本机关不掌握相关政府信息</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855"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2.没有现成信息需要另行制作</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855"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3.补正后申请内容仍不明确</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855"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（五） 不予处理</w:t>
            </w: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1.信访举报投诉类申请</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855"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2.重复申请</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855"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3.要求提供公开出版物</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855"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4.无正当理由大量反复申请</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855"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20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5.要求行政机关确认或重新出具已获取信息</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2940" w:type="dxa"/>
            <w:gridSpan w:val="2"/>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（六）其他处理</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2940" w:type="dxa"/>
            <w:gridSpan w:val="2"/>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楷体" w:cs="Times New Roman"/>
                <w:i w:val="0"/>
                <w:iCs w:val="0"/>
                <w:caps w:val="0"/>
                <w:color w:val="333333"/>
                <w:spacing w:val="0"/>
                <w:sz w:val="24"/>
                <w:szCs w:val="24"/>
                <w:lang w:eastAsia="zh-CN"/>
              </w:rPr>
              <w:t>（七）总计</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3555" w:type="dxa"/>
            <w:gridSpan w:val="3"/>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四、结转下年度继续办理</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8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9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72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微软雅黑" w:cs="Times New Roman"/>
          <w:i w:val="0"/>
          <w:iCs w:val="0"/>
          <w:caps w:val="0"/>
          <w:color w:val="333333"/>
          <w:spacing w:val="0"/>
          <w:sz w:val="21"/>
          <w:szCs w:val="21"/>
          <w:lang w:eastAsia="zh-CN"/>
        </w:rPr>
      </w:pPr>
      <w:r>
        <w:rPr>
          <w:rStyle w:val="7"/>
          <w:rFonts w:hint="default" w:ascii="Times New Roman" w:hAnsi="Times New Roman" w:eastAsia="黑体" w:cs="Times New Roman"/>
          <w:b w:val="0"/>
          <w:bCs/>
          <w:i w:val="0"/>
          <w:iCs w:val="0"/>
          <w:caps w:val="0"/>
          <w:color w:val="333333"/>
          <w:spacing w:val="0"/>
          <w:sz w:val="32"/>
          <w:szCs w:val="32"/>
          <w:shd w:val="clear" w:fill="FFFFFF"/>
          <w:lang w:eastAsia="zh-CN"/>
        </w:rPr>
        <w:t>四、政府信息公开行政复议、行政诉讼情况</w:t>
      </w:r>
    </w:p>
    <w:tbl>
      <w:tblPr>
        <w:tblStyle w:val="5"/>
        <w:tblW w:w="907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02"/>
        <w:gridCol w:w="587"/>
        <w:gridCol w:w="602"/>
        <w:gridCol w:w="602"/>
        <w:gridCol w:w="677"/>
        <w:gridCol w:w="557"/>
        <w:gridCol w:w="602"/>
        <w:gridCol w:w="602"/>
        <w:gridCol w:w="602"/>
        <w:gridCol w:w="617"/>
        <w:gridCol w:w="602"/>
        <w:gridCol w:w="602"/>
        <w:gridCol w:w="602"/>
        <w:gridCol w:w="602"/>
        <w:gridCol w:w="617"/>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jc w:val="center"/>
        </w:trPr>
        <w:tc>
          <w:tcPr>
            <w:tcW w:w="3060" w:type="dxa"/>
            <w:gridSpan w:val="5"/>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行政复议</w:t>
            </w:r>
          </w:p>
        </w:tc>
        <w:tc>
          <w:tcPr>
            <w:tcW w:w="5985" w:type="dxa"/>
            <w:gridSpan w:val="10"/>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行政诉讼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结果维持</w:t>
            </w:r>
          </w:p>
        </w:tc>
        <w:tc>
          <w:tcPr>
            <w:tcW w:w="585"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结果纠正</w:t>
            </w:r>
          </w:p>
        </w:tc>
        <w:tc>
          <w:tcPr>
            <w:tcW w:w="600"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其他结果</w:t>
            </w:r>
          </w:p>
        </w:tc>
        <w:tc>
          <w:tcPr>
            <w:tcW w:w="600"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尚未审结</w:t>
            </w:r>
          </w:p>
        </w:tc>
        <w:tc>
          <w:tcPr>
            <w:tcW w:w="660"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总计</w:t>
            </w:r>
          </w:p>
        </w:tc>
        <w:tc>
          <w:tcPr>
            <w:tcW w:w="2970" w:type="dxa"/>
            <w:gridSpan w:val="5"/>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未经复议直接起诉</w:t>
            </w:r>
          </w:p>
        </w:tc>
        <w:tc>
          <w:tcPr>
            <w:tcW w:w="3015" w:type="dxa"/>
            <w:gridSpan w:val="5"/>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复议后起诉</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585"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60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660" w:type="dxa"/>
            <w:vMerge w:val="continue"/>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pageBreakBefore w:val="0"/>
              <w:shd w:val="clear"/>
              <w:kinsoku/>
              <w:wordWrap/>
              <w:overflowPunct/>
              <w:topLinePunct w:val="0"/>
              <w:autoSpaceDE/>
              <w:autoSpaceDN/>
              <w:bidi w:val="0"/>
              <w:adjustRightInd/>
              <w:snapToGrid/>
              <w:spacing w:before="0" w:line="56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55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结果维持</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结果纠正</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其他结果</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尚未审结</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总计</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结果维持</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结果纠正</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其他结果</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尚未审结</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微软雅黑" w:cs="Times New Roman"/>
                <w:i w:val="0"/>
                <w:iCs w:val="0"/>
                <w:caps w:val="0"/>
                <w:color w:val="333333"/>
                <w:spacing w:val="0"/>
                <w:sz w:val="21"/>
                <w:szCs w:val="21"/>
                <w:lang w:eastAsia="zh-CN"/>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eastAsia="zh-CN"/>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5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6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555"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c>
          <w:tcPr>
            <w:tcW w:w="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lang w:eastAsia="zh-CN"/>
              </w:rPr>
            </w:pPr>
            <w:r>
              <w:rPr>
                <w:rFonts w:hint="default" w:ascii="Times New Roman" w:hAnsi="Times New Roman" w:eastAsia="宋体" w:cs="Times New Roman"/>
                <w:i w:val="0"/>
                <w:iCs w:val="0"/>
                <w:caps w:val="0"/>
                <w:color w:val="333333"/>
                <w:spacing w:val="0"/>
                <w:sz w:val="24"/>
                <w:szCs w:val="24"/>
                <w:lang w:val="en-US"/>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textAlignment w:val="auto"/>
        <w:rPr>
          <w:rStyle w:val="7"/>
          <w:rFonts w:hint="default" w:ascii="Times New Roman" w:hAnsi="Times New Roman" w:eastAsia="黑体" w:cs="Times New Roman"/>
          <w:b w:val="0"/>
          <w:bCs/>
          <w:i w:val="0"/>
          <w:iCs w:val="0"/>
          <w:caps w:val="0"/>
          <w:color w:val="333333"/>
          <w:spacing w:val="0"/>
          <w:sz w:val="32"/>
          <w:szCs w:val="32"/>
          <w:shd w:val="clear" w:fill="FFFFFF"/>
          <w:lang w:eastAsia="zh-CN"/>
        </w:rPr>
      </w:pPr>
      <w:r>
        <w:rPr>
          <w:rFonts w:hint="default" w:ascii="Times New Roman" w:hAnsi="Times New Roman" w:eastAsia="微软雅黑" w:cs="Times New Roman"/>
          <w:i w:val="0"/>
          <w:iCs w:val="0"/>
          <w:caps w:val="0"/>
          <w:color w:val="333333"/>
          <w:spacing w:val="0"/>
          <w:sz w:val="21"/>
          <w:szCs w:val="21"/>
          <w:shd w:val="clear" w:fill="FFFFFF"/>
          <w:lang w:eastAsia="zh-CN"/>
        </w:rPr>
        <w:t> </w:t>
      </w:r>
      <w:r>
        <w:rPr>
          <w:rStyle w:val="7"/>
          <w:rFonts w:hint="default" w:ascii="Times New Roman" w:hAnsi="Times New Roman" w:eastAsia="黑体" w:cs="Times New Roman"/>
          <w:b w:val="0"/>
          <w:bCs/>
          <w:i w:val="0"/>
          <w:iCs w:val="0"/>
          <w:caps w:val="0"/>
          <w:color w:val="333333"/>
          <w:spacing w:val="0"/>
          <w:sz w:val="32"/>
          <w:szCs w:val="32"/>
          <w:shd w:val="clear" w:fill="FFFFFF"/>
          <w:lang w:eastAsia="zh-CN"/>
        </w:rPr>
        <w:t>五、存在的主要问题及改进情况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34"/>
        <w:jc w:val="left"/>
        <w:textAlignment w:val="auto"/>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default" w:ascii="Times New Roman" w:hAnsi="Times New Roman" w:eastAsia="仿宋_GB2312" w:cs="Times New Roman"/>
          <w:i w:val="0"/>
          <w:iCs w:val="0"/>
          <w:caps w:val="0"/>
          <w:color w:val="333333"/>
          <w:spacing w:val="0"/>
          <w:sz w:val="32"/>
          <w:szCs w:val="32"/>
          <w:shd w:val="clear" w:fill="FFFFFF"/>
          <w:lang w:eastAsia="zh-CN"/>
        </w:rPr>
        <w:t>过去一年虽然我们在政务公开工作取得了一些成绩，但是也暴露出一些问题。一是信息公开时间节点把握不准。部分信息公开不及时，未能全部按照时间节点公开。二是具体经办人员虽按时发布了内容，但业务不熟，公开的内容和要求存在很大差距，为此我们制定了有效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34"/>
        <w:jc w:val="left"/>
        <w:textAlignment w:val="auto"/>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default" w:ascii="Times New Roman" w:hAnsi="Times New Roman" w:eastAsia="仿宋_GB2312" w:cs="Times New Roman"/>
          <w:i w:val="0"/>
          <w:iCs w:val="0"/>
          <w:caps w:val="0"/>
          <w:color w:val="333333"/>
          <w:spacing w:val="0"/>
          <w:sz w:val="32"/>
          <w:szCs w:val="32"/>
          <w:shd w:val="clear" w:fill="FFFFFF"/>
          <w:lang w:eastAsia="zh-CN"/>
        </w:rPr>
        <w:t>1、强化领导，确保政务公开工作落到实处。切实加强对信息公开工作的领导和对信息公开工作的督查指导，建立健全政务公开领导小组，明确分工，各司其职，各负其责，确保此项工作的顺利开展。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34"/>
        <w:jc w:val="left"/>
        <w:textAlignment w:val="auto"/>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default" w:ascii="Times New Roman" w:hAnsi="Times New Roman" w:eastAsia="仿宋_GB2312" w:cs="Times New Roman"/>
          <w:i w:val="0"/>
          <w:iCs w:val="0"/>
          <w:caps w:val="0"/>
          <w:color w:val="333333"/>
          <w:spacing w:val="0"/>
          <w:sz w:val="32"/>
          <w:szCs w:val="32"/>
          <w:shd w:val="clear" w:fill="FFFFFF"/>
          <w:lang w:eastAsia="zh-CN"/>
        </w:rPr>
        <w:t>2、加大宣传力度，加强对政务公开的思想认识。通过加强宣传教育，使全局上下充分认识到做好政府信息网的必要性和重要意义，形成全局关心关注政务公开工作的合力。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34"/>
        <w:jc w:val="left"/>
        <w:textAlignment w:val="auto"/>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default" w:ascii="Times New Roman" w:hAnsi="Times New Roman" w:eastAsia="仿宋_GB2312" w:cs="Times New Roman"/>
          <w:i w:val="0"/>
          <w:iCs w:val="0"/>
          <w:caps w:val="0"/>
          <w:color w:val="333333"/>
          <w:spacing w:val="0"/>
          <w:sz w:val="32"/>
          <w:szCs w:val="32"/>
          <w:shd w:val="clear" w:fill="FFFFFF"/>
          <w:lang w:eastAsia="zh-CN"/>
        </w:rPr>
        <w:t>3、强化监督，不断深化政务公开。建立信息公开内容审查和更新维护、考核评估、培训宣传和工作年报等工作制度，建立和完善信息公开审查制度，确保信息公开工作制度化、规范化，把政务公开工作真正落到实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34"/>
        <w:jc w:val="left"/>
        <w:textAlignment w:val="auto"/>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default" w:ascii="Times New Roman" w:hAnsi="Times New Roman" w:eastAsia="仿宋_GB2312" w:cs="Times New Roman"/>
          <w:i w:val="0"/>
          <w:iCs w:val="0"/>
          <w:caps w:val="0"/>
          <w:color w:val="333333"/>
          <w:spacing w:val="0"/>
          <w:sz w:val="32"/>
          <w:szCs w:val="32"/>
          <w:shd w:val="clear" w:fill="FFFFFF"/>
          <w:lang w:eastAsia="zh-CN"/>
        </w:rPr>
        <w:t>4、加强培训，不断提高业务水平。切实加强政务公开具体经办人员业务培训工作，采取请进来，走出去等措施，积极邀请相关专家来我局指导政务公开工作同时安排单位政务公开负责人员与政务公开先进单位开展经验交流，通过经验交流切实提高我局政务公开人员的业务水平，争取在2019年度政务公开工作取得好成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34"/>
        <w:jc w:val="left"/>
        <w:textAlignment w:val="auto"/>
        <w:rPr>
          <w:rFonts w:hint="default" w:ascii="Times New Roman" w:hAnsi="Times New Roman" w:eastAsia="仿宋_GB2312" w:cs="Times New Roman"/>
          <w:i w:val="0"/>
          <w:iCs w:val="0"/>
          <w:caps w:val="0"/>
          <w:color w:val="333333"/>
          <w:spacing w:val="0"/>
          <w:sz w:val="32"/>
          <w:szCs w:val="32"/>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5MzNhYmNlMGUwN2QyOGIyNWJhYmNiMTNkNDVkODAifQ=="/>
  </w:docVars>
  <w:rsids>
    <w:rsidRoot w:val="31F679B8"/>
    <w:rsid w:val="11ED3FD9"/>
    <w:rsid w:val="14A44F34"/>
    <w:rsid w:val="151A5668"/>
    <w:rsid w:val="1D24290E"/>
    <w:rsid w:val="1DCC68BD"/>
    <w:rsid w:val="31F679B8"/>
    <w:rsid w:val="347A48EE"/>
    <w:rsid w:val="35804B46"/>
    <w:rsid w:val="51EC3CEF"/>
    <w:rsid w:val="55C05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1854</Words>
  <Characters>1889</Characters>
  <Lines>0</Lines>
  <Paragraphs>0</Paragraphs>
  <TotalTime>1</TotalTime>
  <ScaleCrop>false</ScaleCrop>
  <LinksUpToDate>false</LinksUpToDate>
  <CharactersWithSpaces>1926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2024-07-03T07:53:00Z</dcterms:created>
  <dc:creator>admin</dc:creator>
  <cp:lastModifiedBy>admin</cp:lastModifiedBy>
  <dcterms:modified xsi:type="dcterms:W3CDTF">2024-08-07T00:35:52Z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4D18CAA03FF64F52B99C0426ADE7D3D0_11</vt:lpwstr>
  </property>
</Properties>
</file>