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根据新修订《中华人民共和国政府信息公开条例》（以下简称《条例》）</w:t>
      </w:r>
      <w:r>
        <w:rPr>
          <w:rFonts w:hint="default" w:ascii="Times New Roman" w:hAnsi="Times New Roman" w:cs="Times New Roman" w:eastAsiaTheme="minorEastAsia"/>
          <w:caps w:val="0"/>
          <w:spacing w:val="0"/>
          <w:sz w:val="24"/>
          <w:szCs w:val="24"/>
          <w:shd w:val="clear" w:fill="FFFFFF"/>
        </w:rPr>
        <w:t>《国务院办公厅政府信息与政务公开办公室关于政府信息公开工作年度报告有关事项的通知》（国办公开办函〔</w:t>
      </w:r>
      <w:r>
        <w:rPr>
          <w:rFonts w:hint="default" w:ascii="Times New Roman" w:hAnsi="Times New Roman" w:cs="Times New Roman" w:eastAsiaTheme="minorEastAsia"/>
          <w:caps w:val="0"/>
          <w:spacing w:val="0"/>
          <w:sz w:val="24"/>
          <w:szCs w:val="24"/>
          <w:shd w:val="clear" w:fill="FFFFFF"/>
        </w:rPr>
        <w:t>2019</w:t>
      </w:r>
      <w:r>
        <w:rPr>
          <w:rFonts w:hint="default" w:ascii="Times New Roman" w:hAnsi="Times New Roman" w:cs="Times New Roman" w:eastAsiaTheme="minorEastAsia"/>
          <w:caps w:val="0"/>
          <w:spacing w:val="0"/>
          <w:sz w:val="24"/>
          <w:szCs w:val="24"/>
          <w:shd w:val="clear" w:fill="FFFFFF"/>
        </w:rPr>
        <w:t>〕</w:t>
      </w:r>
      <w:r>
        <w:rPr>
          <w:rFonts w:hint="default" w:ascii="Times New Roman" w:hAnsi="Times New Roman" w:cs="Times New Roman" w:eastAsiaTheme="minorEastAsia"/>
          <w:caps w:val="0"/>
          <w:spacing w:val="0"/>
          <w:sz w:val="24"/>
          <w:szCs w:val="24"/>
          <w:shd w:val="clear" w:fill="FFFFFF"/>
        </w:rPr>
        <w:t>60</w:t>
      </w:r>
      <w:r>
        <w:rPr>
          <w:rFonts w:hint="default" w:ascii="Times New Roman" w:hAnsi="Times New Roman" w:cs="Times New Roman" w:eastAsiaTheme="minorEastAsia"/>
          <w:caps w:val="0"/>
          <w:spacing w:val="0"/>
          <w:sz w:val="24"/>
          <w:szCs w:val="24"/>
          <w:shd w:val="clear" w:fill="FFFFFF"/>
        </w:rPr>
        <w:t>号）和《安徽省政务公开办公室关于做好</w:t>
      </w:r>
      <w:r>
        <w:rPr>
          <w:rFonts w:hint="default" w:ascii="Times New Roman" w:hAnsi="Times New Roman" w:cs="Times New Roman" w:eastAsiaTheme="minorEastAsia"/>
          <w:caps w:val="0"/>
          <w:spacing w:val="0"/>
          <w:sz w:val="24"/>
          <w:szCs w:val="24"/>
          <w:shd w:val="clear" w:fill="FFFFFF"/>
        </w:rPr>
        <w:t>2019</w:t>
      </w:r>
      <w:r>
        <w:rPr>
          <w:rFonts w:hint="default" w:ascii="Times New Roman" w:hAnsi="Times New Roman" w:cs="Times New Roman" w:eastAsiaTheme="minorEastAsia"/>
          <w:caps w:val="0"/>
          <w:spacing w:val="0"/>
          <w:sz w:val="24"/>
          <w:szCs w:val="24"/>
          <w:shd w:val="clear" w:fill="FFFFFF"/>
        </w:rPr>
        <w:t>年度政府信息公开工作年度报告及统计数据报送有关工作的通知》（皖政务办秘〔</w:t>
      </w:r>
      <w:r>
        <w:rPr>
          <w:rFonts w:hint="default" w:ascii="Times New Roman" w:hAnsi="Times New Roman" w:cs="Times New Roman" w:eastAsiaTheme="minorEastAsia"/>
          <w:caps w:val="0"/>
          <w:spacing w:val="0"/>
          <w:sz w:val="24"/>
          <w:szCs w:val="24"/>
          <w:shd w:val="clear" w:fill="FFFFFF"/>
        </w:rPr>
        <w:t>2019</w:t>
      </w:r>
      <w:r>
        <w:rPr>
          <w:rFonts w:hint="default" w:ascii="Times New Roman" w:hAnsi="Times New Roman" w:cs="Times New Roman" w:eastAsiaTheme="minorEastAsia"/>
          <w:caps w:val="0"/>
          <w:spacing w:val="0"/>
          <w:sz w:val="24"/>
          <w:szCs w:val="24"/>
          <w:shd w:val="clear" w:fill="FFFFFF"/>
        </w:rPr>
        <w:t>〕</w:t>
      </w:r>
      <w:r>
        <w:rPr>
          <w:rFonts w:hint="default" w:ascii="Times New Roman" w:hAnsi="Times New Roman" w:cs="Times New Roman" w:eastAsiaTheme="minorEastAsia"/>
          <w:caps w:val="0"/>
          <w:spacing w:val="0"/>
          <w:sz w:val="24"/>
          <w:szCs w:val="24"/>
          <w:shd w:val="clear" w:fill="FFFFFF"/>
        </w:rPr>
        <w:t>43</w:t>
      </w:r>
      <w:r>
        <w:rPr>
          <w:rFonts w:hint="default" w:ascii="Times New Roman" w:hAnsi="Times New Roman" w:cs="Times New Roman" w:eastAsiaTheme="minorEastAsia"/>
          <w:caps w:val="0"/>
          <w:spacing w:val="0"/>
          <w:sz w:val="24"/>
          <w:szCs w:val="24"/>
          <w:shd w:val="clear" w:fill="FFFFFF"/>
        </w:rPr>
        <w:t>号）</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rPr>
        <w:t>现对金寨县应急管理局2019年政府信息公开工作年度报告予以公布。全文包括总体情况、主动公开政府信息情况、收到和处理政府信息公开申请情况、政府信息公开行政复议、行政诉讼情况、存在的主要问题及改进情况和其他需要报告的事项。</w:t>
      </w:r>
      <w:r>
        <w:rPr>
          <w:rFonts w:hint="default" w:ascii="Times New Roman" w:hAnsi="Times New Roman" w:cs="Times New Roman" w:eastAsiaTheme="minorEastAsia"/>
          <w:caps w:val="0"/>
          <w:spacing w:val="0"/>
          <w:sz w:val="24"/>
          <w:szCs w:val="24"/>
          <w:shd w:val="clear" w:fill="FFFFFF"/>
        </w:rPr>
        <w:t>本年度报告中使用数据统计期限为</w:t>
      </w:r>
      <w:r>
        <w:rPr>
          <w:rFonts w:hint="default" w:ascii="Times New Roman" w:hAnsi="Times New Roman" w:cs="Times New Roman" w:eastAsiaTheme="minorEastAsia"/>
          <w:caps w:val="0"/>
          <w:spacing w:val="0"/>
          <w:sz w:val="24"/>
          <w:szCs w:val="24"/>
          <w:shd w:val="clear" w:fill="FFFFFF"/>
        </w:rPr>
        <w:t>2019</w:t>
      </w:r>
      <w:r>
        <w:rPr>
          <w:rFonts w:hint="default" w:ascii="Times New Roman" w:hAnsi="Times New Roman" w:cs="Times New Roman" w:eastAsiaTheme="minorEastAsia"/>
          <w:caps w:val="0"/>
          <w:spacing w:val="0"/>
          <w:sz w:val="24"/>
          <w:szCs w:val="24"/>
          <w:shd w:val="clear" w:fill="FFFFFF"/>
        </w:rPr>
        <w:t>年</w:t>
      </w:r>
      <w:r>
        <w:rPr>
          <w:rFonts w:hint="default" w:ascii="Times New Roman" w:hAnsi="Times New Roman" w:cs="Times New Roman" w:eastAsiaTheme="minorEastAsia"/>
          <w:caps w:val="0"/>
          <w:spacing w:val="0"/>
          <w:sz w:val="24"/>
          <w:szCs w:val="24"/>
          <w:shd w:val="clear" w:fill="FFFFFF"/>
        </w:rPr>
        <w:t>1</w:t>
      </w:r>
      <w:r>
        <w:rPr>
          <w:rFonts w:hint="default" w:ascii="Times New Roman" w:hAnsi="Times New Roman" w:cs="Times New Roman" w:eastAsiaTheme="minorEastAsia"/>
          <w:caps w:val="0"/>
          <w:spacing w:val="0"/>
          <w:sz w:val="24"/>
          <w:szCs w:val="24"/>
          <w:shd w:val="clear" w:fill="FFFFFF"/>
        </w:rPr>
        <w:t>月</w:t>
      </w:r>
      <w:r>
        <w:rPr>
          <w:rFonts w:hint="default" w:ascii="Times New Roman" w:hAnsi="Times New Roman" w:cs="Times New Roman" w:eastAsiaTheme="minorEastAsia"/>
          <w:caps w:val="0"/>
          <w:spacing w:val="0"/>
          <w:sz w:val="24"/>
          <w:szCs w:val="24"/>
          <w:shd w:val="clear" w:fill="FFFFFF"/>
        </w:rPr>
        <w:t>1</w:t>
      </w:r>
      <w:r>
        <w:rPr>
          <w:rFonts w:hint="default" w:ascii="Times New Roman" w:hAnsi="Times New Roman" w:cs="Times New Roman" w:eastAsiaTheme="minorEastAsia"/>
          <w:caps w:val="0"/>
          <w:spacing w:val="0"/>
          <w:sz w:val="24"/>
          <w:szCs w:val="24"/>
          <w:shd w:val="clear" w:fill="FFFFFF"/>
        </w:rPr>
        <w:t>日至</w:t>
      </w:r>
      <w:r>
        <w:rPr>
          <w:rFonts w:hint="default" w:ascii="Times New Roman" w:hAnsi="Times New Roman" w:cs="Times New Roman" w:eastAsiaTheme="minorEastAsia"/>
          <w:caps w:val="0"/>
          <w:spacing w:val="0"/>
          <w:sz w:val="24"/>
          <w:szCs w:val="24"/>
          <w:shd w:val="clear" w:fill="FFFFFF"/>
        </w:rPr>
        <w:t>2019</w:t>
      </w:r>
      <w:r>
        <w:rPr>
          <w:rFonts w:hint="default" w:ascii="Times New Roman" w:hAnsi="Times New Roman" w:cs="Times New Roman" w:eastAsiaTheme="minorEastAsia"/>
          <w:caps w:val="0"/>
          <w:spacing w:val="0"/>
          <w:sz w:val="24"/>
          <w:szCs w:val="24"/>
          <w:shd w:val="clear" w:fill="FFFFFF"/>
        </w:rPr>
        <w:t>年</w:t>
      </w:r>
      <w:r>
        <w:rPr>
          <w:rFonts w:hint="default" w:ascii="Times New Roman" w:hAnsi="Times New Roman" w:cs="Times New Roman" w:eastAsiaTheme="minorEastAsia"/>
          <w:caps w:val="0"/>
          <w:spacing w:val="0"/>
          <w:sz w:val="24"/>
          <w:szCs w:val="24"/>
          <w:shd w:val="clear" w:fill="FFFFFF"/>
        </w:rPr>
        <w:t>12</w:t>
      </w:r>
      <w:r>
        <w:rPr>
          <w:rFonts w:hint="default" w:ascii="Times New Roman" w:hAnsi="Times New Roman" w:cs="Times New Roman" w:eastAsiaTheme="minorEastAsia"/>
          <w:caps w:val="0"/>
          <w:spacing w:val="0"/>
          <w:sz w:val="24"/>
          <w:szCs w:val="24"/>
          <w:shd w:val="clear" w:fill="FFFFFF"/>
        </w:rPr>
        <w:t>月</w:t>
      </w:r>
      <w:r>
        <w:rPr>
          <w:rFonts w:hint="default" w:ascii="Times New Roman" w:hAnsi="Times New Roman" w:cs="Times New Roman" w:eastAsiaTheme="minorEastAsia"/>
          <w:caps w:val="0"/>
          <w:spacing w:val="0"/>
          <w:sz w:val="24"/>
          <w:szCs w:val="24"/>
          <w:shd w:val="clear" w:fill="FFFFFF"/>
        </w:rPr>
        <w:t>31</w:t>
      </w:r>
      <w:r>
        <w:rPr>
          <w:rFonts w:hint="default" w:ascii="Times New Roman" w:hAnsi="Times New Roman" w:cs="Times New Roman" w:eastAsiaTheme="minorEastAsia"/>
          <w:caps w:val="0"/>
          <w:spacing w:val="0"/>
          <w:sz w:val="24"/>
          <w:szCs w:val="24"/>
          <w:shd w:val="clear" w:fill="FFFFFF"/>
        </w:rPr>
        <w:t>日。</w:t>
      </w:r>
      <w:r>
        <w:rPr>
          <w:rFonts w:hint="default" w:ascii="Times New Roman" w:hAnsi="Times New Roman" w:cs="Times New Roman" w:eastAsiaTheme="minorEastAsia"/>
        </w:rPr>
        <w:t>如对本报告有任何疑问，请与金寨县应急管理局联系（地址：金寨县金梧桐政务中心，电话：0564-7061958，</w:t>
      </w:r>
      <w:r>
        <w:rPr>
          <w:rFonts w:hint="default" w:ascii="Times New Roman" w:hAnsi="Times New Roman" w:cs="Times New Roman" w:eastAsiaTheme="minorEastAsia"/>
          <w:caps w:val="0"/>
          <w:color w:val="333333"/>
          <w:spacing w:val="0"/>
          <w:sz w:val="24"/>
          <w:szCs w:val="24"/>
          <w:shd w:val="clear" w:fill="FFFFFF"/>
        </w:rPr>
        <w:t>邮编：</w:t>
      </w:r>
      <w:r>
        <w:rPr>
          <w:rFonts w:hint="default" w:ascii="Times New Roman" w:hAnsi="Times New Roman" w:cs="Times New Roman" w:eastAsiaTheme="minorEastAsia"/>
          <w:caps w:val="0"/>
          <w:color w:val="333333"/>
          <w:spacing w:val="0"/>
          <w:sz w:val="24"/>
          <w:szCs w:val="24"/>
          <w:shd w:val="clear" w:fill="FFFFFF"/>
        </w:rPr>
        <w:t>237300</w:t>
      </w:r>
      <w:r>
        <w:rPr>
          <w:rFonts w:hint="default" w:ascii="Times New Roman" w:hAnsi="Times New Roman" w:cs="Times New Roman" w:eastAsiaTheme="minorEastAsia"/>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default" w:ascii="Times New Roman" w:hAnsi="Times New Roman" w:cs="Times New Roman"/>
        </w:rPr>
      </w:pPr>
      <w:r>
        <w:rPr>
          <w:rFonts w:hint="default" w:ascii="Times New Roman" w:hAnsi="Times New Roman" w:cs="Times New Roman"/>
        </w:rPr>
        <w:t>2019年，金寨县应急管理局在县政务公开办领导下，紧紧围绕我局中心工作，持续完善政务公开制度规范，着力深化重点领域信息公开，不断加强政策解读和政务舆情回应，大力推进政务公开规范优质发展。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（一）主动公开政府信息情况</w:t>
      </w:r>
      <w:r>
        <w:rPr>
          <w:rFonts w:hint="default" w:ascii="Times New Roman" w:hAnsi="Times New Roman" w:cs="Times New Roman"/>
        </w:rPr>
        <w:t>。2019年全年共发布各类信息604条。其中政策法规类信息29条；行政权力运行类14条；财政资金类信息19条；机构及机构领导类信息29条；规划计划类信息11条；重点领域类信息179条等信息。信息公开内容基本覆盖了我局各项工作，为广大群众了解应急管理工作，支持应急管理提供了畅通渠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（二）依申请公开。</w:t>
      </w:r>
      <w:r>
        <w:rPr>
          <w:rFonts w:hint="default" w:ascii="Times New Roman" w:hAnsi="Times New Roman" w:cs="Times New Roman"/>
        </w:rPr>
        <w:t>我局认真贯彻落实《国务院办公厅关于做好政府信息依申请公开工作的意见》，积极做好信息公开的各项工作，2019年我局收到依申请公开申请事项零件。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（三）政府信息管理。一是</w:t>
      </w:r>
      <w:r>
        <w:rPr>
          <w:rFonts w:hint="default" w:ascii="Times New Roman" w:hAnsi="Times New Roman" w:cs="Times New Roman"/>
        </w:rPr>
        <w:t>为进一步提升我局政务公开工作人员的政务公开意识，积极开展政务宣传培训，通过培训，使政务公开工作人员进一步熟知国家当前的政府信息公开的政策内容，不断提高政策把握能力、舆情研判能力、解疑释惑能力和回应引导能力。不断增强政务工作中的主动性、自觉性、持续性和创造性。</w:t>
      </w:r>
      <w:r>
        <w:rPr>
          <w:rFonts w:hint="default" w:ascii="Times New Roman" w:hAnsi="Times New Roman" w:cs="Times New Roman"/>
          <w:b/>
          <w:bCs/>
        </w:rPr>
        <w:t>二是</w:t>
      </w:r>
      <w:r>
        <w:rPr>
          <w:rFonts w:hint="default" w:ascii="Times New Roman" w:hAnsi="Times New Roman" w:cs="Times New Roman"/>
        </w:rPr>
        <w:t>规范政务信息发布流程，严把审核关。我局严格按照政务公开信息发布工作流程，确保信息发布规范化运行。明确信息提供责任，严格采集、审核、报送等环节程序，强化信息公开前的审查工作，做到有领导分管、有单位、科室负责、有专人实施，确保“先审查、后公开”，同时负责信息公开编辑的同志也同步做好信息内容的接收、筛选、发布等工作，确保发布信息的规范、准确。</w:t>
      </w:r>
      <w:r>
        <w:rPr>
          <w:rFonts w:hint="default" w:ascii="Times New Roman" w:hAnsi="Times New Roman" w:cs="Times New Roman"/>
          <w:b/>
          <w:bCs/>
        </w:rPr>
        <w:t>三是</w:t>
      </w:r>
      <w:r>
        <w:rPr>
          <w:rFonts w:hint="default" w:ascii="Times New Roman" w:hAnsi="Times New Roman" w:cs="Times New Roman"/>
        </w:rPr>
        <w:t>畅通沟通渠道，积极回应网民关切。积极利用新媒体搭建的网络平台，解疑释惑、及时回应网民留言，加强对网络舆论的正面引导，用真实的声音赢得舆论先机，提升我局的社会公信力，截至年底，回复书记信箱留言10条，网民留言的回复率100%，满意率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Style w:val="5"/>
          <w:rFonts w:hint="default" w:ascii="Times New Roman" w:hAnsi="Times New Roman" w:eastAsia="宋体" w:cs="Times New Roman"/>
        </w:rPr>
      </w:pPr>
      <w:r>
        <w:rPr>
          <w:rStyle w:val="5"/>
          <w:rFonts w:hint="default" w:ascii="Times New Roman" w:hAnsi="Times New Roman" w:eastAsia="宋体" w:cs="Times New Roman"/>
          <w:lang w:val="en-US" w:eastAsia="zh-CN"/>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Style w:val="5"/>
          <w:rFonts w:hint="default" w:ascii="Times New Roman" w:hAnsi="Times New Roman" w:cs="Times New Roman"/>
        </w:rPr>
      </w:pPr>
      <w:r>
        <w:rPr>
          <w:rFonts w:hint="default" w:ascii="Times New Roman" w:hAnsi="Times New Roman" w:cs="Times New Roman"/>
          <w:lang w:val="en-US" w:eastAsia="zh-CN"/>
        </w:rPr>
        <w:t>优化平台建设提升政务公开效能，按照省、市、县统一要求，调整优化单位信息公开目录设置，按照法定时限及时发布并实时更新政府信息，方便社会公众快速准确获取所需信息。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w:t>
      </w:r>
      <w:r>
        <w:rPr>
          <w:rStyle w:val="5"/>
          <w:rFonts w:hint="default" w:ascii="Times New Roman" w:hAnsi="Times New Roman" w:cs="Times New Roman"/>
          <w:lang w:val="en-US" w:eastAsia="zh-CN"/>
        </w:rPr>
        <w:t>五</w:t>
      </w:r>
      <w:r>
        <w:rPr>
          <w:rStyle w:val="5"/>
          <w:rFonts w:hint="default" w:ascii="Times New Roman" w:hAnsi="Times New Roman" w:cs="Times New Roman"/>
        </w:rPr>
        <w:t>）监督保障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default" w:ascii="Times New Roman" w:hAnsi="Times New Roman" w:cs="Times New Roman"/>
        </w:rPr>
      </w:pPr>
      <w:r>
        <w:rPr>
          <w:rFonts w:hint="default" w:ascii="Times New Roman" w:hAnsi="Times New Roman" w:cs="Times New Roman"/>
        </w:rPr>
        <w:t>为进一步确保政务公开各项工作落实到位，有效保障政务公开的规范运行。一年来，我局严格按照《金寨县政务公开办公室关于印发</w:t>
      </w:r>
      <w:r>
        <w:rPr>
          <w:rStyle w:val="5"/>
          <w:rFonts w:hint="default" w:ascii="Times New Roman" w:hAnsi="Times New Roman" w:cs="Times New Roman"/>
        </w:rPr>
        <w:t>2019</w:t>
      </w:r>
      <w:r>
        <w:rPr>
          <w:rFonts w:hint="default" w:ascii="Times New Roman" w:hAnsi="Times New Roman" w:cs="Times New Roman"/>
        </w:rPr>
        <w:t>年度全县政务公开目标任务责任清单的通知》文件的要求，紧密结合本单位工作实际，进一步量化分解落实各科室的责任，并将政务公开纳入单位年度目标管理考核范围，使之制度化、常态化。对政务信息报送及时、准确的科室予以表彰，并推广先进经验。对政务公开开展不力的科室，将予以通报，确保政务公开工作年年有重点、年年有考核、人人有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二、主动公开政府信息情况</w:t>
      </w:r>
    </w:p>
    <w:tbl>
      <w:tblPr>
        <w:tblStyle w:val="3"/>
        <w:tblW w:w="0" w:type="auto"/>
        <w:jc w:val="center"/>
        <w:tblCellSpacing w:w="15"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autofit"/>
        <w:tblCellMar>
          <w:top w:w="15" w:type="dxa"/>
          <w:left w:w="15" w:type="dxa"/>
          <w:bottom w:w="15" w:type="dxa"/>
          <w:right w:w="15" w:type="dxa"/>
        </w:tblCellMar>
      </w:tblPr>
      <w:tblGrid>
        <w:gridCol w:w="3150"/>
        <w:gridCol w:w="1905"/>
        <w:gridCol w:w="1290"/>
        <w:gridCol w:w="1920"/>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jc w:val="center"/>
        </w:trPr>
        <w:tc>
          <w:tcPr>
            <w:tcW w:w="8205" w:type="dxa"/>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第二十条第（一）项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本年新制作数量</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本年新公开数量</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对外公开总数量</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规章</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规范性文件</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8205" w:type="dxa"/>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第二十条第（五）项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上一年项目数量</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本年增/减</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处理决定数量</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行政许可</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其他对外管理服务事项</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156</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-6</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13</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jc w:val="center"/>
        </w:trPr>
        <w:tc>
          <w:tcPr>
            <w:tcW w:w="8205" w:type="dxa"/>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第二十条第（六）项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上一年项目数量</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本年增/减</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处理决定数量</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行政处罚</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131</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-12</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16</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行政强制</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2</w:t>
            </w:r>
          </w:p>
        </w:tc>
        <w:tc>
          <w:tcPr>
            <w:tcW w:w="126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8205" w:type="dxa"/>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第二十条第（八）项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上一年项目数量</w:t>
            </w:r>
          </w:p>
        </w:tc>
        <w:tc>
          <w:tcPr>
            <w:tcW w:w="3165"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本年增/减</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行政事业性收费</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9</w:t>
            </w:r>
          </w:p>
        </w:tc>
        <w:tc>
          <w:tcPr>
            <w:tcW w:w="3165"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8205" w:type="dxa"/>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第二十条第（九）项</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信息内容</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采购项目数量</w:t>
            </w:r>
          </w:p>
        </w:tc>
        <w:tc>
          <w:tcPr>
            <w:tcW w:w="3165"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采购总金额</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jc w:val="center"/>
        </w:trPr>
        <w:tc>
          <w:tcPr>
            <w:tcW w:w="310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政府集中采购</w:t>
            </w:r>
          </w:p>
        </w:tc>
        <w:tc>
          <w:tcPr>
            <w:tcW w:w="187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12</w:t>
            </w:r>
          </w:p>
        </w:tc>
        <w:tc>
          <w:tcPr>
            <w:tcW w:w="3165"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231439.88</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三、收到和处理政府信息公开申请情况</w:t>
      </w:r>
    </w:p>
    <w:tbl>
      <w:tblPr>
        <w:tblStyle w:val="3"/>
        <w:tblW w:w="0" w:type="auto"/>
        <w:tblCellSpacing w:w="15" w:type="dxa"/>
        <w:tblInd w:w="0"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autofit"/>
        <w:tblCellMar>
          <w:top w:w="15" w:type="dxa"/>
          <w:left w:w="15" w:type="dxa"/>
          <w:bottom w:w="15" w:type="dxa"/>
          <w:right w:w="15" w:type="dxa"/>
        </w:tblCellMar>
      </w:tblPr>
      <w:tblGrid>
        <w:gridCol w:w="608"/>
        <w:gridCol w:w="44"/>
        <w:gridCol w:w="1087"/>
        <w:gridCol w:w="44"/>
        <w:gridCol w:w="1894"/>
        <w:gridCol w:w="776"/>
        <w:gridCol w:w="723"/>
        <w:gridCol w:w="722"/>
        <w:gridCol w:w="30"/>
        <w:gridCol w:w="775"/>
        <w:gridCol w:w="918"/>
        <w:gridCol w:w="30"/>
        <w:gridCol w:w="655"/>
        <w:gridCol w:w="30"/>
        <w:gridCol w:w="658"/>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3653" w:type="dxa"/>
            <w:gridSpan w:val="5"/>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5251" w:type="dxa"/>
            <w:gridSpan w:val="10"/>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申请人情况</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3653" w:type="dxa"/>
            <w:gridSpan w:val="5"/>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751"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自然人</w:t>
            </w:r>
          </w:p>
        </w:tc>
        <w:tc>
          <w:tcPr>
            <w:tcW w:w="3821" w:type="dxa"/>
            <w:gridSpan w:val="7"/>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法人或其他组织</w:t>
            </w:r>
          </w:p>
        </w:tc>
        <w:tc>
          <w:tcPr>
            <w:tcW w:w="619" w:type="dxa"/>
            <w:gridSpan w:val="2"/>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总计</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3653" w:type="dxa"/>
            <w:gridSpan w:val="5"/>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75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商业企业</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科研机构</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社会公益组织</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法律服务机构</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其他</w:t>
            </w:r>
          </w:p>
        </w:tc>
        <w:tc>
          <w:tcPr>
            <w:tcW w:w="619"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3653"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一、本年新收政府信息公开申请数量</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3653"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二、上年结转政府信息公开申请数量</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608" w:type="dxa"/>
            <w:gridSpan w:val="2"/>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三、本年度办理结果</w:t>
            </w:r>
          </w:p>
        </w:tc>
        <w:tc>
          <w:tcPr>
            <w:tcW w:w="3015" w:type="dxa"/>
            <w:gridSpan w:val="3"/>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（一）予以公开</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608"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3015" w:type="dxa"/>
            <w:gridSpan w:val="3"/>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（二）部分公开（区分处理的，只计这一情形，不计其他情形）</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608"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（三）不予公开</w:t>
            </w:r>
          </w:p>
        </w:tc>
        <w:tc>
          <w:tcPr>
            <w:tcW w:w="188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1.属于国家秘密</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608"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88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2.其他法律行政法规禁止公开</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608"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88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3.危及“三安全一稳</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8"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1"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89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9"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p>
        </w:tc>
        <w:tc>
          <w:tcPr>
            <w:tcW w:w="1105" w:type="dxa"/>
            <w:gridSpan w:val="2"/>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定”</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4.保护第三方合法权益</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5.属于三类内部事务信息</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6.属于四类过程性信息</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7.属于行政执法案卷</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8.属于行政查询事项</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（四）无法提供</w:t>
            </w: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1.本机关不掌握相关政府信息</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2.没有现成信息需要另行制作</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rHeight w:val="1173" w:hRule="atLeast"/>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3.补正后申请内容仍不明确</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（五）不予处理</w:t>
            </w: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1.信访举报投诉类申请</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2.重复申请</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3.要求提供公开出版物</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4.无正当理由大量反复申请</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105"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1923"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5.要求行政机关确认或重新出具已获取信息</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3058" w:type="dxa"/>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（六）其他处理</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PrEx>
        <w:trPr>
          <w:tblCellSpacing w:w="15" w:type="dxa"/>
        </w:trPr>
        <w:tc>
          <w:tcPr>
            <w:tcW w:w="56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3058" w:type="dxa"/>
            <w:gridSpan w:val="4"/>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（七）总计</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3652"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四、结转下年度继续办理</w:t>
            </w:r>
          </w:p>
        </w:tc>
        <w:tc>
          <w:tcPr>
            <w:tcW w:w="752"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9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752"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900"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57" w:type="dxa"/>
            <w:gridSpan w:val="2"/>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17"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四、政府信息公开行政复议、行政诉讼情况</w:t>
      </w:r>
    </w:p>
    <w:tbl>
      <w:tblPr>
        <w:tblStyle w:val="3"/>
        <w:tblW w:w="0" w:type="auto"/>
        <w:tblCellSpacing w:w="15" w:type="dxa"/>
        <w:tblInd w:w="0"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Layout w:type="autofit"/>
        <w:tblCellMar>
          <w:top w:w="15" w:type="dxa"/>
          <w:left w:w="15" w:type="dxa"/>
          <w:bottom w:w="15" w:type="dxa"/>
          <w:right w:w="15" w:type="dxa"/>
        </w:tblCellMar>
      </w:tblPr>
      <w:tblGrid>
        <w:gridCol w:w="613"/>
        <w:gridCol w:w="598"/>
        <w:gridCol w:w="598"/>
        <w:gridCol w:w="598"/>
        <w:gridCol w:w="638"/>
        <w:gridCol w:w="545"/>
        <w:gridCol w:w="598"/>
        <w:gridCol w:w="598"/>
        <w:gridCol w:w="599"/>
        <w:gridCol w:w="599"/>
        <w:gridCol w:w="599"/>
        <w:gridCol w:w="599"/>
        <w:gridCol w:w="599"/>
        <w:gridCol w:w="599"/>
        <w:gridCol w:w="614"/>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3060"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行政复议</w:t>
            </w:r>
          </w:p>
        </w:tc>
        <w:tc>
          <w:tcPr>
            <w:tcW w:w="5985" w:type="dxa"/>
            <w:gridSpan w:val="10"/>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行政诉讼</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结果维持</w:t>
            </w:r>
          </w:p>
        </w:tc>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结果纠正</w:t>
            </w:r>
          </w:p>
        </w:tc>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其他结果</w:t>
            </w:r>
          </w:p>
        </w:tc>
        <w:tc>
          <w:tcPr>
            <w:tcW w:w="600"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尚未审结</w:t>
            </w:r>
          </w:p>
        </w:tc>
        <w:tc>
          <w:tcPr>
            <w:tcW w:w="645" w:type="dxa"/>
            <w:vMerge w:val="restart"/>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总计</w:t>
            </w:r>
          </w:p>
        </w:tc>
        <w:tc>
          <w:tcPr>
            <w:tcW w:w="2970"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未经复议直接起诉</w:t>
            </w:r>
          </w:p>
        </w:tc>
        <w:tc>
          <w:tcPr>
            <w:tcW w:w="3015" w:type="dxa"/>
            <w:gridSpan w:val="5"/>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复议后起诉</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CellMar>
            <w:top w:w="15" w:type="dxa"/>
            <w:left w:w="15" w:type="dxa"/>
            <w:bottom w:w="15" w:type="dxa"/>
            <w:right w:w="15" w:type="dxa"/>
          </w:tblCellMar>
        </w:tblPrEx>
        <w:trPr>
          <w:tblCellSpacing w:w="15" w:type="dxa"/>
        </w:trPr>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64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z w:val="24"/>
                <w:szCs w:val="24"/>
              </w:rPr>
            </w:pPr>
          </w:p>
        </w:tc>
        <w:tc>
          <w:tcPr>
            <w:tcW w:w="54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结果维持</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结果纠正</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其他结果</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尚未审结</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总计</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结果维持</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结果纠正</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其他结果</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尚未审结</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总计</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color="auto" w:fill="auto"/>
          <w:tblCellMar>
            <w:top w:w="15" w:type="dxa"/>
            <w:left w:w="15" w:type="dxa"/>
            <w:bottom w:w="15" w:type="dxa"/>
            <w:right w:w="15" w:type="dxa"/>
          </w:tblCellMar>
        </w:tblPrEx>
        <w:trPr>
          <w:tblCellSpacing w:w="15" w:type="dxa"/>
        </w:trPr>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45"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54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c>
          <w:tcPr>
            <w:tcW w:w="600" w:type="dxa"/>
            <w:shd w:val="clear" w:color="auto" w:fill="auto"/>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r>
              <w:rPr>
                <w:rFonts w:hint="default" w:ascii="Times New Roman" w:hAnsi="Times New Roman" w:cs="Times New Roma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default" w:ascii="Times New Roman" w:hAnsi="Times New Roman" w:cs="Times New Roman"/>
        </w:rPr>
      </w:pPr>
      <w:r>
        <w:rPr>
          <w:rFonts w:hint="default" w:ascii="Times New Roman" w:hAnsi="Times New Roman" w:cs="Times New Roman"/>
        </w:rPr>
        <w:t>2019年，我单位积极开展政务公开工作，取得了一定的成效，但是，我单位的信息公开工作与该项工作的高标准、严要求相比，还存在一定差距，政府信息公开管理制度有待进一步加强和健全。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b/>
          <w:bCs/>
        </w:rPr>
      </w:pPr>
      <w:r>
        <w:rPr>
          <w:rFonts w:hint="default" w:ascii="Times New Roman" w:hAnsi="Times New Roman" w:cs="Times New Roman"/>
          <w:b/>
          <w:bCs/>
        </w:rPr>
        <w:t>（一）存在问题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default" w:ascii="Times New Roman" w:hAnsi="Times New Roman" w:cs="Times New Roman"/>
        </w:rPr>
      </w:pPr>
      <w:r>
        <w:rPr>
          <w:rFonts w:hint="default" w:ascii="Times New Roman" w:hAnsi="Times New Roman" w:cs="Times New Roman"/>
        </w:rPr>
        <w:t>2019年政府信息公开方面主要存在的问题：一是个别涉及业务条线的栏目信息更新不够及时;二是信息公开格式需要进一步规范。在2020年的信息公开工作中，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b/>
          <w:bCs/>
        </w:rPr>
      </w:pPr>
      <w:r>
        <w:rPr>
          <w:rFonts w:hint="default" w:ascii="Times New Roman" w:hAnsi="Times New Roman" w:cs="Times New Roman"/>
          <w:b/>
          <w:bCs/>
        </w:rPr>
        <w:t>（二）改进情况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default" w:ascii="Times New Roman" w:hAnsi="Times New Roman" w:cs="Times New Roman"/>
        </w:rPr>
      </w:pPr>
      <w:r>
        <w:rPr>
          <w:rFonts w:hint="default" w:ascii="Times New Roman" w:hAnsi="Times New Roman" w:cs="Times New Roman"/>
        </w:rPr>
        <w:t>一是认真贯彻执行《中华人民共和国政府信息公开条例》，进一步加强和完善政府信息公开工作。二是进一步健全落实政府信息公开管理制度。三是不断完善和充实部门信息公开内容，做到及时增删，确保信息公开内容的合法、全面、及时、准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2" w:firstLineChars="200"/>
        <w:textAlignment w:val="auto"/>
        <w:rPr>
          <w:rFonts w:hint="default" w:ascii="Times New Roman" w:hAnsi="Times New Roman" w:cs="Times New Roman"/>
        </w:rPr>
      </w:pPr>
      <w:r>
        <w:rPr>
          <w:rStyle w:val="5"/>
          <w:rFonts w:hint="default" w:ascii="Times New Roman" w:hAnsi="Times New Roman" w:cs="Times New Roman"/>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textAlignment w:val="auto"/>
        <w:rPr>
          <w:rFonts w:hint="default" w:ascii="Times New Roman" w:hAnsi="Times New Roman" w:cs="Times New Roman"/>
        </w:rPr>
      </w:pPr>
      <w:r>
        <w:rPr>
          <w:rFonts w:hint="default" w:ascii="Times New Roman" w:hAnsi="Times New Roman" w:cs="Times New Roman"/>
        </w:rPr>
        <w:t>2019年度无其他需要报告的事项。</w:t>
      </w:r>
    </w:p>
    <w:p>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0" w:name="_GoBack"/>
      <w:bookmarkEnd w:id="0"/>
    </w:p>
    <w:sectPr>
      <w:pgSz w:w="11906" w:h="16838"/>
      <w:pgMar w:top="2098" w:right="1474" w:bottom="1984" w:left="1588" w:header="851" w:footer="1020"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Tw Cen MT Condensed">
    <w:panose1 w:val="020B0606020104020203"/>
    <w:charset w:val="00"/>
    <w:family w:val="auto"/>
    <w:pitch w:val="default"/>
    <w:sig w:usb0="00000003" w:usb1="00000000" w:usb2="00000000" w:usb3="00000000" w:csb0="2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GU5M2FjNDg1NGY2YmYyNzJkZmVmMzVmY2E5NDEifQ=="/>
  </w:docVars>
  <w:rsids>
    <w:rsidRoot w:val="4E9F4CE1"/>
    <w:rsid w:val="351054BE"/>
    <w:rsid w:val="4E9F4CE1"/>
    <w:rsid w:val="5EB1716B"/>
    <w:rsid w:val="70E70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2583</Words>
  <Characters>2697</Characters>
  <Lines>0</Lines>
  <Paragraphs>0</Paragraphs>
  <TotalTime>5</TotalTime>
  <ScaleCrop>false</ScaleCrop>
  <LinksUpToDate>false</LinksUpToDate>
  <CharactersWithSpaces>2697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2024-07-02T07:10:00Z</dcterms:created>
  <dc:creator>爱丽丝</dc:creator>
  <cp:lastModifiedBy>爱丽丝</cp:lastModifiedBy>
  <dcterms:modified xsi:type="dcterms:W3CDTF">2024-08-07T10:07:34Z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AA60CAD99DF04B82A9BE84074FBEA54E_13</vt:lpwstr>
  </property>
</Properties>
</file>