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000000"/>
          <w:spacing w:val="0"/>
          <w:kern w:val="0"/>
          <w:sz w:val="32"/>
          <w:szCs w:val="32"/>
          <w:shd w:val="clear" w:fill="FFFFFF"/>
          <w:lang w:val="en-US" w:eastAsia="zh-CN" w:bidi="ar"/>
        </w:rPr>
        <w:t>本报告依据《中华人民共和国政府信息公开条例》（国务院令第</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711号，以下简称新《条例》）</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和</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金寨县政务公开办公室关于做好政府信息公开年度报告编制和发布工作的通知》（金政公开〔2021〕28号）文件要求编制而成。报告主要由政府信息公开工作总体情况、行政机关主动公开政府信息情况、收到和处理政府信息公开申请情况、政府信息公开行政复议及行政诉讼情况、政府信息公开工作存在的主要问题及改进情况和其他需要报告的事项六部分组成。本报告中所列数据的统计时限为2021年1月1日至12月31日。报告的电子版可在金寨县信息公开网</w:t>
      </w:r>
      <w:r>
        <w:rPr>
          <w:rFonts w:ascii="仿宋" w:hAnsi="仿宋" w:eastAsia="仿宋" w:cs="仿宋"/>
          <w:i w:val="0"/>
          <w:iCs w:val="0"/>
          <w:caps w:val="0"/>
          <w:color w:val="000000"/>
          <w:spacing w:val="0"/>
          <w:kern w:val="0"/>
          <w:sz w:val="32"/>
          <w:szCs w:val="32"/>
          <w:shd w:val="clear" w:fill="FFFFFF"/>
          <w:lang w:val="en-US"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https://www.ahjinzhai.gov.cn/public/column/6596281?type=3&amp;action=list&amp;nav=3&amp;title=2021）下载。如对本报告有任何疑问，请与金寨县应急管理局办公室联系（地址：金梧桐政务服务中心14楼，电话：0564--7061958，邮编：237300）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ascii="黑体" w:hAnsi="宋体" w:eastAsia="黑体" w:cs="黑体"/>
          <w:b w:val="0"/>
          <w:bCs w:val="0"/>
          <w:i w:val="0"/>
          <w:iCs w:val="0"/>
          <w:caps w:val="0"/>
          <w:color w:val="333333"/>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年金寨县应急管理局高度重视政务公开工作，根据《金寨县人民政府办公室关于印发金寨县2021年政务公开重点工作任务分工的通知》文件要求，依法公开应急管理重点工作和群众关心关切问题，具体公开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ascii="楷体" w:hAnsi="楷体" w:eastAsia="楷体" w:cs="楷体"/>
          <w:b w:val="0"/>
          <w:bCs w:val="0"/>
          <w:i w:val="0"/>
          <w:iCs w:val="0"/>
          <w:caps w:val="0"/>
          <w:color w:val="000000"/>
          <w:spacing w:val="0"/>
          <w:kern w:val="0"/>
          <w:sz w:val="32"/>
          <w:szCs w:val="32"/>
          <w:shd w:val="clear" w:fill="FFFFFF"/>
          <w:lang w:val="en-US" w:eastAsia="zh-CN" w:bidi="ar"/>
        </w:rPr>
        <w:t>（一）</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截至2021年12月31日，全年应急局部门网站主动公开信息224条，其中政策法规17条；决策部署落实情况14条；机构人事信息30条；行政权力运行37条；行政权力运行结果34条；回应关切13条；监督保障12条。我局在金寨县规范化标准化栏目救灾领域累计公开77条信息，安全生产领域累计公开95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（二）依申请公开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经办人员参加新依申请公开平台培训并对</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公开指南中的依申请内容进行修改完善，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2021年我局未收到依申请公开事项。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（三）政府信息管理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根据《金寨县人民政府办公室关于修改订完善政务公开相关制度的通知》</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（金政办秘〔2021〕28号）文件要求，对政务公开制度修订完善，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进一步规范单位信息发布流程，加强信息发布前审查，强化网站信息安全管理，细化公开内容，扩大公开范围，凡涉及公共利益、公众权益、社会关切及需要社会广泛知晓的文件，均按照依法全面、准确及时的原则做好公开工作，推进信息公开全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shd w:val="clear" w:fill="FFFFFF"/>
          <w:lang w:val="en-US" w:eastAsia="zh-CN" w:bidi="ar"/>
        </w:rPr>
        <w:t>（四）政府信息公开平台建设情况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优化平台建设提升政务公开效能，按照省、市、县统一要求，调整优化单位信息公开目录设置，按照法定时限及时发布并实时更新政府信息，方便社会公众快速准确获取所需信息。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val="0"/>
          <w:bCs w:val="0"/>
          <w:i w:val="0"/>
          <w:iCs w:val="0"/>
          <w:caps w:val="0"/>
          <w:color w:val="333333"/>
          <w:spacing w:val="0"/>
          <w:kern w:val="0"/>
          <w:sz w:val="32"/>
          <w:szCs w:val="32"/>
          <w:shd w:val="clear" w:fill="FFFFFF"/>
          <w:lang w:val="en-US" w:eastAsia="zh-CN" w:bidi="ar"/>
        </w:rPr>
        <w:t>（五）政府信息公开监督保障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一是强化组织领导，由局领导对本单位的政务公开工作进行监督指导，定期听取政务公开工作汇报，研究部署相关工作，明确具体责任人。二是压实工作责任，将政务公开工作分解到各个科室，明确公开任务及公开时限，确保政务公开工作顺利开展。三是加大整改力度，及时整改</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县政务公开办和县融媒体中心每季度对网站监测反馈的问题。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二、行政机关主动公开政府信息情况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right="0"/>
              <w:jc w:val="center"/>
              <w:textAlignment w:val="auto"/>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ascii="Calibri" w:hAnsi="Calibri" w:eastAsia="仿宋_GB2312"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4"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both"/>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60" w:lineRule="atLeast"/>
              <w:ind w:left="0" w:right="0"/>
              <w:jc w:val="center"/>
              <w:textAlignment w:val="auto"/>
            </w:pPr>
            <w:r>
              <w:rPr>
                <w:rFonts w:hint="eastAsia" w:ascii="宋体" w:hAnsi="宋体" w:eastAsia="宋体" w:cs="宋体"/>
                <w:kern w:val="0"/>
                <w:sz w:val="24"/>
                <w:szCs w:val="24"/>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三、收到和处理政府信息公开申请情况</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6"/>
        <w:gridCol w:w="933"/>
        <w:gridCol w:w="2322"/>
        <w:gridCol w:w="731"/>
        <w:gridCol w:w="731"/>
        <w:gridCol w:w="731"/>
        <w:gridCol w:w="731"/>
        <w:gridCol w:w="731"/>
        <w:gridCol w:w="732"/>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5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5120"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5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73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自然人</w:t>
            </w:r>
          </w:p>
        </w:tc>
        <w:tc>
          <w:tcPr>
            <w:tcW w:w="365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法人或其他组织</w:t>
            </w:r>
          </w:p>
        </w:tc>
        <w:tc>
          <w:tcPr>
            <w:tcW w:w="73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395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73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企业</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机构</w:t>
            </w:r>
          </w:p>
        </w:tc>
        <w:tc>
          <w:tcPr>
            <w:tcW w:w="7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社会公益组织</w:t>
            </w:r>
          </w:p>
        </w:tc>
        <w:tc>
          <w:tcPr>
            <w:tcW w:w="7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法律服务机构</w:t>
            </w:r>
          </w:p>
        </w:tc>
        <w:tc>
          <w:tcPr>
            <w:tcW w:w="7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其他</w:t>
            </w:r>
          </w:p>
        </w:tc>
        <w:tc>
          <w:tcPr>
            <w:tcW w:w="73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5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395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三、本年度办理结果</w:t>
            </w:r>
          </w:p>
        </w:tc>
        <w:tc>
          <w:tcPr>
            <w:tcW w:w="325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（一）予以公开</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325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（三）不予公开</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1.属于国家秘密</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（四）无法提供</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single" w:color="auto" w:sz="4" w:space="0"/>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（五）不予处理</w:t>
            </w:r>
          </w:p>
        </w:tc>
        <w:tc>
          <w:tcPr>
            <w:tcW w:w="2322"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731"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2.重复申请</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（六）其他处理</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933"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2322"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pPr>
            <w:r>
              <w:rPr>
                <w:rFonts w:hint="eastAsia" w:ascii="宋体" w:hAnsi="宋体" w:eastAsia="宋体" w:cs="宋体"/>
                <w:kern w:val="0"/>
                <w:sz w:val="20"/>
                <w:szCs w:val="20"/>
                <w:lang w:val="en-US" w:eastAsia="zh-CN" w:bidi="ar"/>
              </w:rPr>
              <w:t>3.其他</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c>
          <w:tcPr>
            <w:tcW w:w="732"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default" w:ascii="Calibri" w:hAnsi="Calibri" w:eastAsia="仿宋_GB2312" w:cs="Calibri"/>
                <w:kern w:val="0"/>
                <w:sz w:val="20"/>
                <w:szCs w:val="20"/>
                <w:lang w:val="en-US" w:eastAsia="zh-CN" w:bidi="ar"/>
              </w:rPr>
              <w:t>0</w:t>
            </w:r>
          </w:p>
        </w:tc>
        <w:tc>
          <w:tcPr>
            <w:tcW w:w="733" w:type="dxa"/>
            <w:tcBorders>
              <w:top w:val="nil"/>
              <w:left w:val="nil"/>
              <w:bottom w:val="single" w:color="auto" w:sz="4"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 w:type="dxa"/>
            <w:tcBorders>
              <w:top w:val="nil"/>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3255" w:type="dxa"/>
            <w:gridSpan w:val="2"/>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（七）总计</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3" w:type="dxa"/>
            <w:tcBorders>
              <w:top w:val="single" w:color="auto" w:sz="4" w:space="0"/>
              <w:left w:val="nil"/>
              <w:bottom w:val="single" w:color="auto" w:sz="4" w:space="0"/>
              <w:right w:val="single" w:color="auto" w:sz="4"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5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left"/>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四、结转下年度继续办理</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c>
          <w:tcPr>
            <w:tcW w:w="733" w:type="dxa"/>
            <w:tcBorders>
              <w:top w:val="single" w:color="auto" w:sz="4" w:space="0"/>
              <w:left w:val="nil"/>
              <w:bottom w:val="single" w:color="auto" w:sz="4" w:space="0"/>
              <w:right w:val="single" w:color="auto" w:sz="4"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center"/>
              <w:textAlignment w:val="auto"/>
              <w:rPr>
                <w:rFonts w:hint="default" w:ascii="Calibri" w:hAnsi="Calibri" w:eastAsia="仿宋_GB2312" w:cs="Calibri"/>
                <w:kern w:val="0"/>
                <w:sz w:val="20"/>
                <w:szCs w:val="20"/>
                <w:lang w:val="en-US" w:eastAsia="zh-CN" w:bidi="ar"/>
              </w:rPr>
            </w:pPr>
            <w:r>
              <w:rPr>
                <w:rFonts w:hint="eastAsia" w:ascii="Calibri" w:hAnsi="Calibri" w:eastAsia="仿宋_GB2312" w:cs="Calibri"/>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right="0" w:firstLine="64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四、政府信息公开行政复议及行政诉讼情况</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04"/>
        <w:gridCol w:w="604"/>
        <w:gridCol w:w="604"/>
        <w:gridCol w:w="604"/>
        <w:gridCol w:w="604"/>
        <w:gridCol w:w="604"/>
        <w:gridCol w:w="604"/>
        <w:gridCol w:w="604"/>
        <w:gridCol w:w="604"/>
        <w:gridCol w:w="604"/>
        <w:gridCol w:w="6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after="0"/>
              <w:textAlignment w:val="auto"/>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维持</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color w:val="000000"/>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ind w:left="0" w:right="0"/>
              <w:jc w:val="both"/>
              <w:textAlignment w:val="auto"/>
            </w:pPr>
            <w:r>
              <w:rPr>
                <w:rFonts w:hint="eastAsia" w:ascii="黑体" w:hAnsi="宋体" w:eastAsia="黑体" w:cs="黑体"/>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五、政府信息公开工作存在的主要问题及改进情况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atLeast"/>
        <w:ind w:right="0" w:firstLine="64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424242"/>
          <w:spacing w:val="0"/>
          <w:sz w:val="32"/>
          <w:szCs w:val="32"/>
          <w:shd w:val="clear" w:fill="FFFFFF"/>
        </w:rPr>
        <w:t>2021年，我局政府信息公开工作稳步推进，但是还存在一些问题：一是政府信息公开工作人员配置较少，存在信息更新不及时的现象，工作人员理论水平、操作水平有待提高；二是政策解读形式单一，解读内容不够全面。对此，我们将加强对政务公开制度的学习，提高工作人员政务公开业务水平，加大政策解读力度，全面推进本机关政务公开工作再上新台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840" w:right="0" w:firstLine="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600" w:lineRule="atLeas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424242"/>
          <w:spacing w:val="0"/>
          <w:kern w:val="0"/>
          <w:sz w:val="32"/>
          <w:szCs w:val="32"/>
          <w:shd w:val="clear" w:fill="FFFFFF"/>
          <w:lang w:val="en-US" w:eastAsia="zh-CN" w:bidi="ar"/>
        </w:rPr>
        <w:t>按照《国务院办公厅关于印发〈政府信息公开信息处理费管理办法〉的通知》（国办函〔2020〕109号）规定的按件、按量收费标准，本年度没有产生信息公开处理费。</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 </w:t>
      </w:r>
    </w:p>
    <w:p>
      <w:pPr>
        <w:keepNext w:val="0"/>
        <w:keepLines w:val="0"/>
        <w:pageBreakBefore w:val="0"/>
        <w:kinsoku/>
        <w:overflowPunct/>
        <w:topLinePunct w:val="0"/>
        <w:autoSpaceDE/>
        <w:autoSpaceDN/>
        <w:bidi w:val="0"/>
        <w:adjustRightInd/>
        <w:snapToGrid/>
        <w:textAlignment w:val="auto"/>
      </w:pPr>
    </w:p>
    <w:sectPr>
      <w:pgSz w:w="11906" w:h="16838"/>
      <w:pgMar w:top="2098" w:right="1474" w:bottom="1984" w:left="1588" w:header="851" w:footer="1020"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GU5M2FjNDg1NGY2YmYyNzJkZmVmMzVmY2E5NDEifQ=="/>
  </w:docVars>
  <w:rsids>
    <w:rsidRoot w:val="33CE4869"/>
    <w:rsid w:val="01EC0334"/>
    <w:rsid w:val="17A70B2D"/>
    <w:rsid w:val="296323DA"/>
    <w:rsid w:val="310E70CF"/>
    <w:rsid w:val="33CE4869"/>
    <w:rsid w:val="3B2017EA"/>
    <w:rsid w:val="3CCC46B7"/>
    <w:rsid w:val="70E703C3"/>
    <w:rsid w:val="7D23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2194</Words>
  <Characters>2365</Characters>
  <Lines>0</Lines>
  <Paragraphs>0</Paragraphs>
  <TotalTime>15</TotalTime>
  <ScaleCrop>false</ScaleCrop>
  <LinksUpToDate>false</LinksUpToDate>
  <CharactersWithSpaces>2366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2024-07-02T06:48:00Z</dcterms:created>
  <dc:creator>爱丽丝</dc:creator>
  <cp:lastModifiedBy>爱丽丝</cp:lastModifiedBy>
  <dcterms:modified xsi:type="dcterms:W3CDTF">2024-08-07T09:58:41Z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7D5F88788FFA47CF8412846168EC8696_13</vt:lpwstr>
  </property>
</Properties>
</file>